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AB28F" w14:textId="187026C2" w:rsidR="00FC7DA9" w:rsidRDefault="00FC7DA9">
      <w:pPr>
        <w:spacing w:after="159"/>
      </w:pPr>
    </w:p>
    <w:p w14:paraId="3830F696" w14:textId="77777777" w:rsidR="00FC7DA9" w:rsidRDefault="00644C0F">
      <w:pPr>
        <w:numPr>
          <w:ilvl w:val="0"/>
          <w:numId w:val="1"/>
        </w:numPr>
        <w:spacing w:after="2" w:line="258" w:lineRule="auto"/>
        <w:ind w:hanging="360"/>
      </w:pPr>
      <w:r>
        <w:rPr>
          <w:rFonts w:ascii="Times New Roman" w:eastAsia="Times New Roman" w:hAnsi="Times New Roman" w:cs="Times New Roman"/>
          <w:sz w:val="24"/>
        </w:rPr>
        <w:t>Consider a randomized clinical trial in 200 high-</w:t>
      </w:r>
      <w:r>
        <w:rPr>
          <w:rFonts w:ascii="Times New Roman" w:eastAsia="Times New Roman" w:hAnsi="Times New Roman" w:cs="Times New Roman"/>
          <w:sz w:val="24"/>
        </w:rPr>
        <w:t xml:space="preserve">risk elderly women studying preventative therapies for hip fracture.  The randomized treatments are </w:t>
      </w:r>
      <w:r>
        <w:rPr>
          <w:rFonts w:ascii="Times New Roman" w:eastAsia="Times New Roman" w:hAnsi="Times New Roman" w:cs="Times New Roman"/>
          <w:b/>
          <w:sz w:val="24"/>
        </w:rPr>
        <w:t>medical therapy</w:t>
      </w:r>
      <w:r>
        <w:rPr>
          <w:rFonts w:ascii="Times New Roman" w:eastAsia="Times New Roman" w:hAnsi="Times New Roman" w:cs="Times New Roman"/>
          <w:sz w:val="24"/>
        </w:rPr>
        <w:t xml:space="preserve"> (bisphosphonate group, n=100) versus </w:t>
      </w:r>
      <w:r>
        <w:rPr>
          <w:rFonts w:ascii="Times New Roman" w:eastAsia="Times New Roman" w:hAnsi="Times New Roman" w:cs="Times New Roman"/>
          <w:b/>
          <w:sz w:val="24"/>
        </w:rPr>
        <w:t>medical therapy plus weight-bearing physical exercise</w:t>
      </w:r>
      <w:r>
        <w:rPr>
          <w:rFonts w:ascii="Times New Roman" w:eastAsia="Times New Roman" w:hAnsi="Times New Roman" w:cs="Times New Roman"/>
          <w:sz w:val="24"/>
        </w:rPr>
        <w:t xml:space="preserve"> (physical exercise group, n=100.   For those assi</w:t>
      </w:r>
      <w:r>
        <w:rPr>
          <w:rFonts w:ascii="Times New Roman" w:eastAsia="Times New Roman" w:hAnsi="Times New Roman" w:cs="Times New Roman"/>
          <w:sz w:val="24"/>
        </w:rPr>
        <w:t xml:space="preserve">gned to the physical exercise plus medical therapy regimen, there is a 6-week delay from the time of randomization to the time they </w:t>
      </w:r>
      <w:proofErr w:type="gramStart"/>
      <w:r>
        <w:rPr>
          <w:rFonts w:ascii="Times New Roman" w:eastAsia="Times New Roman" w:hAnsi="Times New Roman" w:cs="Times New Roman"/>
          <w:sz w:val="24"/>
        </w:rPr>
        <w:t>actually commence</w:t>
      </w:r>
      <w:proofErr w:type="gramEnd"/>
      <w:r>
        <w:rPr>
          <w:rFonts w:ascii="Times New Roman" w:eastAsia="Times New Roman" w:hAnsi="Times New Roman" w:cs="Times New Roman"/>
          <w:sz w:val="24"/>
        </w:rPr>
        <w:t xml:space="preserve"> physical exercise training, and 10% of participants in this arm experience hip fracture before any physica</w:t>
      </w:r>
      <w:r>
        <w:rPr>
          <w:rFonts w:ascii="Times New Roman" w:eastAsia="Times New Roman" w:hAnsi="Times New Roman" w:cs="Times New Roman"/>
          <w:sz w:val="24"/>
        </w:rPr>
        <w:t xml:space="preserve">l training has been given.  Results of the trial are given in the figure below.   </w:t>
      </w:r>
    </w:p>
    <w:p w14:paraId="49709BC7" w14:textId="77777777" w:rsidR="00FC7DA9" w:rsidRDefault="00644C0F">
      <w:pPr>
        <w:spacing w:after="51" w:line="216" w:lineRule="auto"/>
        <w:ind w:left="1800" w:right="1933" w:firstLine="1"/>
      </w:pPr>
      <w:r>
        <w:rPr>
          <w:noProof/>
        </w:rPr>
        <w:drawing>
          <wp:inline distT="0" distB="0" distL="0" distR="0" wp14:anchorId="64241562" wp14:editId="57554FAE">
            <wp:extent cx="3523488" cy="2170176"/>
            <wp:effectExtent l="0" t="0" r="0" b="0"/>
            <wp:docPr id="4439" name="Picture 4439"/>
            <wp:cNvGraphicFramePr/>
            <a:graphic xmlns:a="http://schemas.openxmlformats.org/drawingml/2006/main">
              <a:graphicData uri="http://schemas.openxmlformats.org/drawingml/2006/picture">
                <pic:pic xmlns:pic="http://schemas.openxmlformats.org/drawingml/2006/picture">
                  <pic:nvPicPr>
                    <pic:cNvPr id="4439" name="Picture 4439"/>
                    <pic:cNvPicPr/>
                  </pic:nvPicPr>
                  <pic:blipFill>
                    <a:blip r:embed="rId5"/>
                    <a:stretch>
                      <a:fillRect/>
                    </a:stretch>
                  </pic:blipFill>
                  <pic:spPr>
                    <a:xfrm>
                      <a:off x="0" y="0"/>
                      <a:ext cx="3523488" cy="2170176"/>
                    </a:xfrm>
                    <a:prstGeom prst="rect">
                      <a:avLst/>
                    </a:prstGeom>
                  </pic:spPr>
                </pic:pic>
              </a:graphicData>
            </a:graphic>
          </wp:inline>
        </w:drawing>
      </w:r>
      <w:r>
        <w:rPr>
          <w:rFonts w:ascii="Times New Roman" w:eastAsia="Times New Roman" w:hAnsi="Times New Roman" w:cs="Times New Roman"/>
          <w:sz w:val="24"/>
        </w:rPr>
        <w:t xml:space="preserve">  </w:t>
      </w:r>
    </w:p>
    <w:p w14:paraId="0014FF7B" w14:textId="77777777" w:rsidR="00FC7DA9" w:rsidRDefault="00644C0F">
      <w:pPr>
        <w:numPr>
          <w:ilvl w:val="1"/>
          <w:numId w:val="1"/>
        </w:numPr>
        <w:spacing w:after="2" w:line="258" w:lineRule="auto"/>
        <w:ind w:hanging="360"/>
      </w:pPr>
      <w:r>
        <w:rPr>
          <w:rFonts w:ascii="Times New Roman" w:eastAsia="Times New Roman" w:hAnsi="Times New Roman" w:cs="Times New Roman"/>
          <w:sz w:val="24"/>
        </w:rPr>
        <w:t xml:space="preserve">What proportion of the women experience hip fracture in each of the two randomized groups based on the intent-to-treat principle? I.e., </w:t>
      </w:r>
      <w:proofErr w:type="gramStart"/>
      <w:r>
        <w:rPr>
          <w:rFonts w:ascii="Times New Roman" w:eastAsia="Times New Roman" w:hAnsi="Times New Roman" w:cs="Times New Roman"/>
          <w:sz w:val="24"/>
        </w:rPr>
        <w:t>P(</w:t>
      </w:r>
      <w:proofErr w:type="gramEnd"/>
      <w:r>
        <w:rPr>
          <w:rFonts w:ascii="Times New Roman" w:eastAsia="Times New Roman" w:hAnsi="Times New Roman" w:cs="Times New Roman"/>
          <w:sz w:val="24"/>
        </w:rPr>
        <w:t xml:space="preserve">fracture | bisphosphonate) and </w:t>
      </w:r>
      <w:r>
        <w:rPr>
          <w:rFonts w:ascii="Times New Roman" w:eastAsia="Times New Roman" w:hAnsi="Times New Roman" w:cs="Times New Roman"/>
          <w:sz w:val="24"/>
        </w:rPr>
        <w:t xml:space="preserve">P(fracture | physical exercise) estimated as part of an intent-to-treat analysis.  </w:t>
      </w:r>
    </w:p>
    <w:p w14:paraId="4099D186" w14:textId="77777777" w:rsidR="00FC7DA9" w:rsidRDefault="00644C0F">
      <w:pPr>
        <w:spacing w:after="0"/>
        <w:ind w:left="1080"/>
      </w:pPr>
      <w:r>
        <w:rPr>
          <w:rFonts w:ascii="Times New Roman" w:eastAsia="Times New Roman" w:hAnsi="Times New Roman" w:cs="Times New Roman"/>
          <w:sz w:val="24"/>
        </w:rPr>
        <w:t xml:space="preserve"> </w:t>
      </w:r>
    </w:p>
    <w:p w14:paraId="6807D23A" w14:textId="77777777" w:rsidR="00FC7DA9" w:rsidRDefault="00644C0F">
      <w:pPr>
        <w:spacing w:after="0"/>
        <w:ind w:left="1080"/>
      </w:pPr>
      <w:r>
        <w:rPr>
          <w:rFonts w:ascii="Times New Roman" w:eastAsia="Times New Roman" w:hAnsi="Times New Roman" w:cs="Times New Roman"/>
          <w:sz w:val="24"/>
        </w:rPr>
        <w:t xml:space="preserve"> </w:t>
      </w:r>
    </w:p>
    <w:p w14:paraId="0F18ECAA" w14:textId="77777777" w:rsidR="00FC7DA9" w:rsidRDefault="00644C0F">
      <w:pPr>
        <w:spacing w:after="0"/>
        <w:ind w:left="1080"/>
      </w:pPr>
      <w:r>
        <w:rPr>
          <w:rFonts w:ascii="Times New Roman" w:eastAsia="Times New Roman" w:hAnsi="Times New Roman" w:cs="Times New Roman"/>
          <w:sz w:val="24"/>
        </w:rPr>
        <w:t xml:space="preserve"> </w:t>
      </w:r>
    </w:p>
    <w:p w14:paraId="4A3BF752" w14:textId="77777777" w:rsidR="00FC7DA9" w:rsidRDefault="00644C0F">
      <w:pPr>
        <w:spacing w:after="0"/>
        <w:ind w:left="1080"/>
      </w:pPr>
      <w:r>
        <w:rPr>
          <w:rFonts w:ascii="Times New Roman" w:eastAsia="Times New Roman" w:hAnsi="Times New Roman" w:cs="Times New Roman"/>
          <w:sz w:val="24"/>
        </w:rPr>
        <w:t xml:space="preserve"> </w:t>
      </w:r>
    </w:p>
    <w:p w14:paraId="798BDC27" w14:textId="77777777" w:rsidR="00FC7DA9" w:rsidRDefault="00644C0F">
      <w:pPr>
        <w:spacing w:after="1"/>
        <w:ind w:left="1080"/>
      </w:pPr>
      <w:r>
        <w:rPr>
          <w:rFonts w:ascii="Times New Roman" w:eastAsia="Times New Roman" w:hAnsi="Times New Roman" w:cs="Times New Roman"/>
          <w:sz w:val="24"/>
        </w:rPr>
        <w:t xml:space="preserve"> </w:t>
      </w:r>
    </w:p>
    <w:p w14:paraId="0589BC6F" w14:textId="77777777" w:rsidR="00FC7DA9" w:rsidRDefault="00644C0F">
      <w:pPr>
        <w:numPr>
          <w:ilvl w:val="1"/>
          <w:numId w:val="1"/>
        </w:numPr>
        <w:spacing w:after="157" w:line="258" w:lineRule="auto"/>
        <w:ind w:hanging="360"/>
      </w:pPr>
      <w:r>
        <w:rPr>
          <w:rFonts w:ascii="Times New Roman" w:eastAsia="Times New Roman" w:hAnsi="Times New Roman" w:cs="Times New Roman"/>
          <w:sz w:val="24"/>
        </w:rPr>
        <w:t xml:space="preserve">What proportion of the women experience hip fracture in the two treatment groups when those in the physical exercise group are restricted to the 90 patients who </w:t>
      </w:r>
      <w:proofErr w:type="gramStart"/>
      <w:r>
        <w:rPr>
          <w:rFonts w:ascii="Times New Roman" w:eastAsia="Times New Roman" w:hAnsi="Times New Roman" w:cs="Times New Roman"/>
          <w:sz w:val="24"/>
        </w:rPr>
        <w:t>a</w:t>
      </w:r>
      <w:r>
        <w:rPr>
          <w:rFonts w:ascii="Times New Roman" w:eastAsia="Times New Roman" w:hAnsi="Times New Roman" w:cs="Times New Roman"/>
          <w:sz w:val="24"/>
        </w:rPr>
        <w:t>ctually received</w:t>
      </w:r>
      <w:proofErr w:type="gramEnd"/>
      <w:r>
        <w:rPr>
          <w:rFonts w:ascii="Times New Roman" w:eastAsia="Times New Roman" w:hAnsi="Times New Roman" w:cs="Times New Roman"/>
          <w:sz w:val="24"/>
        </w:rPr>
        <w:t xml:space="preserve"> training (n=90)?  </w:t>
      </w:r>
    </w:p>
    <w:p w14:paraId="100E8FF8" w14:textId="77777777" w:rsidR="00FC7DA9" w:rsidRDefault="00644C0F">
      <w:pPr>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19B5E5ED" w14:textId="77777777" w:rsidR="00FC7DA9" w:rsidRDefault="00644C0F">
      <w:pPr>
        <w:spacing w:after="1"/>
        <w:ind w:left="1080"/>
      </w:pPr>
      <w:r>
        <w:rPr>
          <w:rFonts w:ascii="Times New Roman" w:eastAsia="Times New Roman" w:hAnsi="Times New Roman" w:cs="Times New Roman"/>
          <w:sz w:val="24"/>
        </w:rPr>
        <w:t xml:space="preserve"> </w:t>
      </w:r>
    </w:p>
    <w:p w14:paraId="72427DDA" w14:textId="77777777" w:rsidR="00FC7DA9" w:rsidRDefault="00644C0F">
      <w:pPr>
        <w:numPr>
          <w:ilvl w:val="1"/>
          <w:numId w:val="1"/>
        </w:numPr>
        <w:spacing w:after="2" w:line="258" w:lineRule="auto"/>
        <w:ind w:hanging="360"/>
      </w:pPr>
      <w:r>
        <w:rPr>
          <w:rFonts w:ascii="Times New Roman" w:eastAsia="Times New Roman" w:hAnsi="Times New Roman" w:cs="Times New Roman"/>
          <w:sz w:val="24"/>
        </w:rPr>
        <w:t xml:space="preserve">Circle the correct response.   As the time it takes to initiate physical therapy in the physical exercise group increases, power for the intent-to-treat </w:t>
      </w:r>
      <w:proofErr w:type="gramStart"/>
      <w:r>
        <w:rPr>
          <w:rFonts w:ascii="Times New Roman" w:eastAsia="Times New Roman" w:hAnsi="Times New Roman" w:cs="Times New Roman"/>
          <w:sz w:val="24"/>
        </w:rPr>
        <w:t>analysis</w:t>
      </w:r>
      <w:proofErr w:type="gramEnd"/>
      <w:r>
        <w:rPr>
          <w:rFonts w:ascii="Times New Roman" w:eastAsia="Times New Roman" w:hAnsi="Times New Roman" w:cs="Times New Roman"/>
          <w:sz w:val="24"/>
        </w:rPr>
        <w:t xml:space="preserve"> </w:t>
      </w:r>
    </w:p>
    <w:p w14:paraId="7BE2FC58" w14:textId="77777777" w:rsidR="00FC7DA9" w:rsidRDefault="00644C0F">
      <w:pPr>
        <w:numPr>
          <w:ilvl w:val="3"/>
          <w:numId w:val="4"/>
        </w:numPr>
        <w:spacing w:after="2" w:line="258" w:lineRule="auto"/>
        <w:ind w:hanging="420"/>
      </w:pPr>
      <w:r>
        <w:rPr>
          <w:rFonts w:ascii="Times New Roman" w:eastAsia="Times New Roman" w:hAnsi="Times New Roman" w:cs="Times New Roman"/>
          <w:sz w:val="24"/>
        </w:rPr>
        <w:t xml:space="preserve">increases  </w:t>
      </w:r>
    </w:p>
    <w:p w14:paraId="4DF7A864" w14:textId="77777777" w:rsidR="00FC7DA9" w:rsidRDefault="00644C0F">
      <w:pPr>
        <w:numPr>
          <w:ilvl w:val="3"/>
          <w:numId w:val="4"/>
        </w:numPr>
        <w:spacing w:after="2" w:line="258" w:lineRule="auto"/>
        <w:ind w:hanging="420"/>
      </w:pPr>
      <w:r>
        <w:rPr>
          <w:rFonts w:ascii="Times New Roman" w:eastAsia="Times New Roman" w:hAnsi="Times New Roman" w:cs="Times New Roman"/>
          <w:sz w:val="24"/>
        </w:rPr>
        <w:t xml:space="preserve">stays the </w:t>
      </w:r>
      <w:proofErr w:type="gramStart"/>
      <w:r>
        <w:rPr>
          <w:rFonts w:ascii="Times New Roman" w:eastAsia="Times New Roman" w:hAnsi="Times New Roman" w:cs="Times New Roman"/>
          <w:sz w:val="24"/>
        </w:rPr>
        <w:t>same</w:t>
      </w:r>
      <w:proofErr w:type="gramEnd"/>
      <w:r>
        <w:rPr>
          <w:rFonts w:ascii="Times New Roman" w:eastAsia="Times New Roman" w:hAnsi="Times New Roman" w:cs="Times New Roman"/>
          <w:sz w:val="24"/>
        </w:rPr>
        <w:t xml:space="preserve">  </w:t>
      </w:r>
    </w:p>
    <w:p w14:paraId="3103D7E0" w14:textId="77777777" w:rsidR="00FC7DA9" w:rsidRDefault="00644C0F">
      <w:pPr>
        <w:numPr>
          <w:ilvl w:val="3"/>
          <w:numId w:val="4"/>
        </w:numPr>
        <w:spacing w:after="2" w:line="258" w:lineRule="auto"/>
        <w:ind w:hanging="420"/>
      </w:pPr>
      <w:r>
        <w:rPr>
          <w:rFonts w:ascii="Times New Roman" w:eastAsia="Times New Roman" w:hAnsi="Times New Roman" w:cs="Times New Roman"/>
          <w:sz w:val="24"/>
        </w:rPr>
        <w:t xml:space="preserve">decreases  </w:t>
      </w:r>
    </w:p>
    <w:p w14:paraId="7B7D7427" w14:textId="77777777" w:rsidR="00FC7DA9" w:rsidRDefault="00644C0F">
      <w:pPr>
        <w:spacing w:after="1"/>
        <w:ind w:left="1080"/>
      </w:pPr>
      <w:r>
        <w:rPr>
          <w:rFonts w:ascii="Times New Roman" w:eastAsia="Times New Roman" w:hAnsi="Times New Roman" w:cs="Times New Roman"/>
          <w:sz w:val="24"/>
        </w:rPr>
        <w:t xml:space="preserve"> </w:t>
      </w:r>
    </w:p>
    <w:p w14:paraId="16DDFCD3" w14:textId="77777777" w:rsidR="00FC7DA9" w:rsidRDefault="00644C0F">
      <w:pPr>
        <w:numPr>
          <w:ilvl w:val="1"/>
          <w:numId w:val="1"/>
        </w:numPr>
        <w:spacing w:after="162" w:line="258" w:lineRule="auto"/>
        <w:ind w:hanging="360"/>
      </w:pPr>
      <w:r>
        <w:rPr>
          <w:rFonts w:ascii="Times New Roman" w:eastAsia="Times New Roman" w:hAnsi="Times New Roman" w:cs="Times New Roman"/>
          <w:sz w:val="24"/>
        </w:rPr>
        <w:t xml:space="preserve">What analytical concerns, if any, result from the comparison of hip fracture probabilities as calculated in part (b)?  Please summarize in </w:t>
      </w:r>
      <w:r>
        <w:rPr>
          <w:rFonts w:ascii="Times New Roman" w:eastAsia="Times New Roman" w:hAnsi="Times New Roman" w:cs="Times New Roman"/>
          <w:b/>
          <w:sz w:val="24"/>
        </w:rPr>
        <w:t>no more than 3 sentences</w:t>
      </w:r>
      <w:r>
        <w:rPr>
          <w:rFonts w:ascii="Times New Roman" w:eastAsia="Times New Roman" w:hAnsi="Times New Roman" w:cs="Times New Roman"/>
          <w:sz w:val="24"/>
        </w:rPr>
        <w:t xml:space="preserve">. </w:t>
      </w:r>
    </w:p>
    <w:p w14:paraId="5D38D97B" w14:textId="77777777" w:rsidR="00FC7DA9" w:rsidRDefault="00644C0F">
      <w:pPr>
        <w:spacing w:after="156"/>
      </w:pPr>
      <w:r>
        <w:rPr>
          <w:rFonts w:ascii="Times New Roman" w:eastAsia="Times New Roman" w:hAnsi="Times New Roman" w:cs="Times New Roman"/>
          <w:sz w:val="24"/>
        </w:rPr>
        <w:lastRenderedPageBreak/>
        <w:t xml:space="preserve"> </w:t>
      </w:r>
    </w:p>
    <w:p w14:paraId="68FC31AD" w14:textId="77777777" w:rsidR="00FC7DA9" w:rsidRDefault="00644C0F">
      <w:pPr>
        <w:spacing w:after="1"/>
        <w:ind w:left="1440"/>
      </w:pPr>
      <w:r>
        <w:rPr>
          <w:rFonts w:ascii="Times New Roman" w:eastAsia="Times New Roman" w:hAnsi="Times New Roman" w:cs="Times New Roman"/>
          <w:sz w:val="24"/>
        </w:rPr>
        <w:t xml:space="preserve"> </w:t>
      </w:r>
    </w:p>
    <w:p w14:paraId="6ECCC5C2" w14:textId="0EAC43A3" w:rsidR="00FC7DA9" w:rsidRDefault="00644C0F" w:rsidP="00E976D8">
      <w:pPr>
        <w:spacing w:after="2" w:line="258" w:lineRule="auto"/>
        <w:ind w:left="705"/>
      </w:pPr>
      <w:r w:rsidRPr="00E976D8">
        <w:rPr>
          <w:rFonts w:ascii="Times New Roman" w:eastAsia="Times New Roman" w:hAnsi="Times New Roman" w:cs="Times New Roman"/>
          <w:sz w:val="24"/>
        </w:rPr>
        <w:t xml:space="preserve"> </w:t>
      </w:r>
    </w:p>
    <w:p w14:paraId="40CBA15B" w14:textId="77777777" w:rsidR="00FC7DA9" w:rsidRDefault="00644C0F">
      <w:pPr>
        <w:numPr>
          <w:ilvl w:val="0"/>
          <w:numId w:val="1"/>
        </w:numPr>
        <w:spacing w:after="117" w:line="258" w:lineRule="auto"/>
        <w:ind w:hanging="360"/>
      </w:pPr>
      <w:r>
        <w:rPr>
          <w:rFonts w:ascii="Times New Roman" w:eastAsia="Times New Roman" w:hAnsi="Times New Roman" w:cs="Times New Roman"/>
          <w:sz w:val="24"/>
        </w:rPr>
        <w:t>A meta-analysis of the effect of intravenous nitrate therapy on mortality in acute myocardial infarction was published in May 1988 (Yusef et al, Lancet).  This article reported an</w:t>
      </w:r>
      <w:r>
        <w:rPr>
          <w:rFonts w:ascii="Times New Roman" w:eastAsia="Times New Roman" w:hAnsi="Times New Roman" w:cs="Times New Roman"/>
          <w:sz w:val="24"/>
        </w:rPr>
        <w:t xml:space="preserve"> overall OR that nitrate use was significantly protective (OR=0.65; 95% CI 0.51-0.82).  The following funnel plot was not included in the original </w:t>
      </w:r>
      <w:proofErr w:type="gramStart"/>
      <w:r>
        <w:rPr>
          <w:rFonts w:ascii="Times New Roman" w:eastAsia="Times New Roman" w:hAnsi="Times New Roman" w:cs="Times New Roman"/>
          <w:sz w:val="24"/>
        </w:rPr>
        <w:t>article, but</w:t>
      </w:r>
      <w:proofErr w:type="gramEnd"/>
      <w:r>
        <w:rPr>
          <w:rFonts w:ascii="Times New Roman" w:eastAsia="Times New Roman" w:hAnsi="Times New Roman" w:cs="Times New Roman"/>
          <w:sz w:val="24"/>
        </w:rPr>
        <w:t xml:space="preserve"> was summarized later in follow-up articles.   </w:t>
      </w:r>
    </w:p>
    <w:p w14:paraId="5EF9FFE4" w14:textId="77777777" w:rsidR="00FC7DA9" w:rsidRDefault="00644C0F">
      <w:pPr>
        <w:spacing w:after="0"/>
        <w:ind w:left="2133"/>
      </w:pPr>
      <w:r>
        <w:rPr>
          <w:noProof/>
        </w:rPr>
        <mc:AlternateContent>
          <mc:Choice Requires="wpg">
            <w:drawing>
              <wp:inline distT="0" distB="0" distL="0" distR="0" wp14:anchorId="424A0CBB" wp14:editId="2DD74A16">
                <wp:extent cx="3395701" cy="1957388"/>
                <wp:effectExtent l="0" t="0" r="0" b="0"/>
                <wp:docPr id="3765" name="Group 3765"/>
                <wp:cNvGraphicFramePr/>
                <a:graphic xmlns:a="http://schemas.openxmlformats.org/drawingml/2006/main">
                  <a:graphicData uri="http://schemas.microsoft.com/office/word/2010/wordprocessingGroup">
                    <wpg:wgp>
                      <wpg:cNvGrpSpPr/>
                      <wpg:grpSpPr>
                        <a:xfrm>
                          <a:off x="0" y="0"/>
                          <a:ext cx="3395701" cy="1957388"/>
                          <a:chOff x="0" y="0"/>
                          <a:chExt cx="3395701" cy="1957388"/>
                        </a:xfrm>
                      </wpg:grpSpPr>
                      <pic:pic xmlns:pic="http://schemas.openxmlformats.org/drawingml/2006/picture">
                        <pic:nvPicPr>
                          <pic:cNvPr id="4441" name="Picture 4441"/>
                          <pic:cNvPicPr/>
                        </pic:nvPicPr>
                        <pic:blipFill>
                          <a:blip r:embed="rId6"/>
                          <a:stretch>
                            <a:fillRect/>
                          </a:stretch>
                        </pic:blipFill>
                        <pic:spPr>
                          <a:xfrm>
                            <a:off x="241673" y="-1807"/>
                            <a:ext cx="3154680" cy="1959864"/>
                          </a:xfrm>
                          <a:prstGeom prst="rect">
                            <a:avLst/>
                          </a:prstGeom>
                        </pic:spPr>
                      </pic:pic>
                      <pic:pic xmlns:pic="http://schemas.openxmlformats.org/drawingml/2006/picture">
                        <pic:nvPicPr>
                          <pic:cNvPr id="289" name="Picture 289"/>
                          <pic:cNvPicPr/>
                        </pic:nvPicPr>
                        <pic:blipFill>
                          <a:blip r:embed="rId7"/>
                          <a:stretch>
                            <a:fillRect/>
                          </a:stretch>
                        </pic:blipFill>
                        <pic:spPr>
                          <a:xfrm rot="-5399999">
                            <a:off x="-292607" y="807950"/>
                            <a:ext cx="765048" cy="179832"/>
                          </a:xfrm>
                          <a:prstGeom prst="rect">
                            <a:avLst/>
                          </a:prstGeom>
                        </pic:spPr>
                      </pic:pic>
                      <wps:wsp>
                        <wps:cNvPr id="290" name="Rectangle 290"/>
                        <wps:cNvSpPr/>
                        <wps:spPr>
                          <a:xfrm rot="-5399999">
                            <a:off x="-250880" y="689320"/>
                            <a:ext cx="751582" cy="247427"/>
                          </a:xfrm>
                          <a:prstGeom prst="rect">
                            <a:avLst/>
                          </a:prstGeom>
                          <a:ln>
                            <a:noFill/>
                          </a:ln>
                        </wps:spPr>
                        <wps:txbx>
                          <w:txbxContent>
                            <w:p w14:paraId="3741F3E7" w14:textId="77777777" w:rsidR="00FC7DA9" w:rsidRDefault="00644C0F">
                              <w:r>
                                <w:rPr>
                                  <w:sz w:val="24"/>
                                </w:rPr>
                                <w:t>Precision</w:t>
                              </w:r>
                            </w:p>
                          </w:txbxContent>
                        </wps:txbx>
                        <wps:bodyPr horzOverflow="overflow" vert="horz" lIns="0" tIns="0" rIns="0" bIns="0" rtlCol="0">
                          <a:noAutofit/>
                        </wps:bodyPr>
                      </wps:wsp>
                      <wps:wsp>
                        <wps:cNvPr id="291" name="Rectangle 291"/>
                        <wps:cNvSpPr/>
                        <wps:spPr>
                          <a:xfrm rot="-5399999">
                            <a:off x="102006" y="481375"/>
                            <a:ext cx="45808" cy="247427"/>
                          </a:xfrm>
                          <a:prstGeom prst="rect">
                            <a:avLst/>
                          </a:prstGeom>
                          <a:ln>
                            <a:noFill/>
                          </a:ln>
                        </wps:spPr>
                        <wps:txbx>
                          <w:txbxContent>
                            <w:p w14:paraId="6435ED32" w14:textId="77777777" w:rsidR="00FC7DA9" w:rsidRDefault="00644C0F">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65" style="width:267.378pt;height:154.125pt;mso-position-horizontal-relative:char;mso-position-vertical-relative:line" coordsize="33957,19573">
                <v:shape id="Picture 4441" style="position:absolute;width:31546;height:19598;left:2416;top:-18;" filled="f">
                  <v:imagedata r:id="rId8"/>
                </v:shape>
                <v:shape id="Picture 289" style="position:absolute;width:7650;height:1798;left:-2926;top:8079;rotation:-89;" filled="f">
                  <v:imagedata r:id="rId9"/>
                </v:shape>
                <v:rect id="Rectangle 290" style="position:absolute;width:7515;height:2474;left:-2508;top:6893;rotation:270;" filled="f" stroked="f">
                  <v:textbox inset="0,0,0,0" style="layout-flow:vertical;mso-layout-flow-alt:bottom-to-top">
                    <w:txbxContent>
                      <w:p>
                        <w:pPr>
                          <w:spacing w:before="0" w:after="160" w:line="259" w:lineRule="auto"/>
                        </w:pPr>
                        <w:r>
                          <w:rPr>
                            <w:rFonts w:cs="Calibri" w:hAnsi="Calibri" w:eastAsia="Calibri" w:ascii="Calibri"/>
                            <w:sz w:val="24"/>
                          </w:rPr>
                          <w:t xml:space="preserve">Precision</w:t>
                        </w:r>
                      </w:p>
                    </w:txbxContent>
                  </v:textbox>
                </v:rect>
                <v:rect id="Rectangle 291" style="position:absolute;width:458;height:2474;left:1020;top:4813;rotation:270;" filled="f" stroked="f">
                  <v:textbox inset="0,0,0,0" style="layout-flow:vertical;mso-layout-flow-alt:bottom-to-top">
                    <w:txbxContent>
                      <w:p>
                        <w:pPr>
                          <w:spacing w:before="0" w:after="160" w:line="259" w:lineRule="auto"/>
                        </w:pPr>
                        <w:r>
                          <w:rPr>
                            <w:rFonts w:cs="Calibri" w:hAnsi="Calibri" w:eastAsia="Calibri" w:ascii="Calibri"/>
                            <w:sz w:val="24"/>
                          </w:rPr>
                          <w:t xml:space="preserve"> </w:t>
                        </w:r>
                      </w:p>
                    </w:txbxContent>
                  </v:textbox>
                </v:rect>
              </v:group>
            </w:pict>
          </mc:Fallback>
        </mc:AlternateContent>
      </w:r>
      <w:r>
        <w:rPr>
          <w:rFonts w:ascii="Times New Roman" w:eastAsia="Times New Roman" w:hAnsi="Times New Roman" w:cs="Times New Roman"/>
          <w:sz w:val="24"/>
        </w:rPr>
        <w:t xml:space="preserve"> </w:t>
      </w:r>
    </w:p>
    <w:p w14:paraId="37DAB3E2" w14:textId="77777777" w:rsidR="00FC7DA9" w:rsidRDefault="00644C0F">
      <w:pPr>
        <w:spacing w:after="0"/>
        <w:ind w:left="10" w:right="137" w:hanging="10"/>
        <w:jc w:val="right"/>
      </w:pPr>
      <w:r>
        <w:rPr>
          <w:rFonts w:ascii="Times New Roman" w:eastAsia="Times New Roman" w:hAnsi="Times New Roman" w:cs="Times New Roman"/>
          <w:sz w:val="24"/>
        </w:rPr>
        <w:t>a.</w:t>
      </w:r>
      <w:r>
        <w:rPr>
          <w:rFonts w:ascii="Arial" w:eastAsia="Arial" w:hAnsi="Arial" w:cs="Arial"/>
          <w:sz w:val="24"/>
        </w:rPr>
        <w:t xml:space="preserve"> </w:t>
      </w:r>
      <w:r>
        <w:rPr>
          <w:rFonts w:ascii="Times New Roman" w:eastAsia="Times New Roman" w:hAnsi="Times New Roman" w:cs="Times New Roman"/>
          <w:sz w:val="24"/>
        </w:rPr>
        <w:t xml:space="preserve">Circle the correct response.  Based on this funnel plot, the meta-analysis is likely  </w:t>
      </w:r>
    </w:p>
    <w:p w14:paraId="5C33A7B6" w14:textId="77777777" w:rsidR="00FC7DA9" w:rsidRDefault="00644C0F">
      <w:pPr>
        <w:numPr>
          <w:ilvl w:val="4"/>
          <w:numId w:val="3"/>
        </w:numPr>
        <w:spacing w:after="2" w:line="258" w:lineRule="auto"/>
        <w:ind w:hanging="440"/>
      </w:pPr>
      <w:r>
        <w:rPr>
          <w:rFonts w:ascii="Times New Roman" w:eastAsia="Times New Roman" w:hAnsi="Times New Roman" w:cs="Times New Roman"/>
          <w:sz w:val="24"/>
        </w:rPr>
        <w:t xml:space="preserve">underestimating the benefit of nitrate use (i.e., overall OR should be smaller) </w:t>
      </w:r>
    </w:p>
    <w:p w14:paraId="44B5DD50" w14:textId="77777777" w:rsidR="00FC7DA9" w:rsidRDefault="00644C0F">
      <w:pPr>
        <w:numPr>
          <w:ilvl w:val="4"/>
          <w:numId w:val="3"/>
        </w:numPr>
        <w:spacing w:after="2" w:line="258" w:lineRule="auto"/>
        <w:ind w:hanging="440"/>
      </w:pPr>
      <w:r>
        <w:rPr>
          <w:rFonts w:ascii="Times New Roman" w:eastAsia="Times New Roman" w:hAnsi="Times New Roman" w:cs="Times New Roman"/>
          <w:sz w:val="24"/>
        </w:rPr>
        <w:t xml:space="preserve">estimating the benefit of nitrate use reasonably </w:t>
      </w:r>
      <w:proofErr w:type="gramStart"/>
      <w:r>
        <w:rPr>
          <w:rFonts w:ascii="Times New Roman" w:eastAsia="Times New Roman" w:hAnsi="Times New Roman" w:cs="Times New Roman"/>
          <w:sz w:val="24"/>
        </w:rPr>
        <w:t>well</w:t>
      </w:r>
      <w:proofErr w:type="gramEnd"/>
      <w:r>
        <w:rPr>
          <w:rFonts w:ascii="Times New Roman" w:eastAsia="Times New Roman" w:hAnsi="Times New Roman" w:cs="Times New Roman"/>
          <w:sz w:val="24"/>
        </w:rPr>
        <w:t xml:space="preserve"> </w:t>
      </w:r>
    </w:p>
    <w:p w14:paraId="0FF82AFF" w14:textId="77777777" w:rsidR="00FC7DA9" w:rsidRDefault="00644C0F">
      <w:pPr>
        <w:numPr>
          <w:ilvl w:val="4"/>
          <w:numId w:val="3"/>
        </w:numPr>
        <w:spacing w:after="0"/>
        <w:ind w:hanging="440"/>
      </w:pPr>
      <w:r>
        <w:rPr>
          <w:rFonts w:ascii="Times New Roman" w:eastAsia="Times New Roman" w:hAnsi="Times New Roman" w:cs="Times New Roman"/>
          <w:sz w:val="24"/>
        </w:rPr>
        <w:t>overestimating the benefit of nit</w:t>
      </w:r>
      <w:r>
        <w:rPr>
          <w:rFonts w:ascii="Times New Roman" w:eastAsia="Times New Roman" w:hAnsi="Times New Roman" w:cs="Times New Roman"/>
          <w:sz w:val="24"/>
        </w:rPr>
        <w:t xml:space="preserve">rate use (i.e., overall OR should be bigger) </w:t>
      </w:r>
    </w:p>
    <w:p w14:paraId="3E961F73" w14:textId="77777777" w:rsidR="00FC7DA9" w:rsidRDefault="00644C0F">
      <w:pPr>
        <w:spacing w:after="1"/>
        <w:ind w:left="2160"/>
      </w:pPr>
      <w:r>
        <w:rPr>
          <w:rFonts w:ascii="Times New Roman" w:eastAsia="Times New Roman" w:hAnsi="Times New Roman" w:cs="Times New Roman"/>
          <w:sz w:val="24"/>
        </w:rPr>
        <w:t xml:space="preserve"> </w:t>
      </w:r>
    </w:p>
    <w:p w14:paraId="20415C11" w14:textId="77777777" w:rsidR="00FC7DA9" w:rsidRDefault="00644C0F">
      <w:pPr>
        <w:spacing w:after="2" w:line="258" w:lineRule="auto"/>
        <w:ind w:left="1080"/>
      </w:pPr>
      <w:r>
        <w:rPr>
          <w:rFonts w:ascii="Times New Roman" w:eastAsia="Times New Roman" w:hAnsi="Times New Roman" w:cs="Times New Roman"/>
          <w:sz w:val="24"/>
        </w:rPr>
        <w:t>b.</w:t>
      </w:r>
      <w:r>
        <w:rPr>
          <w:rFonts w:ascii="Arial" w:eastAsia="Arial" w:hAnsi="Arial" w:cs="Arial"/>
          <w:sz w:val="24"/>
        </w:rPr>
        <w:t xml:space="preserve"> </w:t>
      </w:r>
      <w:r>
        <w:rPr>
          <w:rFonts w:ascii="Times New Roman" w:eastAsia="Times New Roman" w:hAnsi="Times New Roman" w:cs="Times New Roman"/>
          <w:sz w:val="24"/>
        </w:rPr>
        <w:t xml:space="preserve">Explain your reasoning behind your response in part (a). </w:t>
      </w:r>
    </w:p>
    <w:p w14:paraId="0675B120" w14:textId="77777777" w:rsidR="00FC7DA9" w:rsidRDefault="00644C0F">
      <w:pPr>
        <w:spacing w:after="0"/>
        <w:ind w:left="1440"/>
      </w:pPr>
      <w:r>
        <w:rPr>
          <w:rFonts w:ascii="Times New Roman" w:eastAsia="Times New Roman" w:hAnsi="Times New Roman" w:cs="Times New Roman"/>
          <w:sz w:val="24"/>
        </w:rPr>
        <w:t xml:space="preserve"> </w:t>
      </w:r>
    </w:p>
    <w:p w14:paraId="5F85D33E" w14:textId="7676ED1C" w:rsidR="00FC7DA9" w:rsidRDefault="00644C0F" w:rsidP="00644C0F">
      <w:pPr>
        <w:spacing w:after="1"/>
        <w:ind w:left="1440"/>
      </w:pPr>
      <w:r>
        <w:rPr>
          <w:rFonts w:ascii="Times New Roman" w:eastAsia="Times New Roman" w:hAnsi="Times New Roman" w:cs="Times New Roman"/>
          <w:sz w:val="24"/>
        </w:rPr>
        <w:t xml:space="preserve"> </w:t>
      </w:r>
    </w:p>
    <w:p w14:paraId="2C05D9AD" w14:textId="77777777" w:rsidR="00FC7DA9" w:rsidRDefault="00644C0F">
      <w:pPr>
        <w:spacing w:after="164"/>
      </w:pPr>
      <w:r>
        <w:rPr>
          <w:rFonts w:ascii="Times New Roman" w:eastAsia="Times New Roman" w:hAnsi="Times New Roman" w:cs="Times New Roman"/>
          <w:sz w:val="24"/>
        </w:rPr>
        <w:t xml:space="preserve"> </w:t>
      </w:r>
    </w:p>
    <w:p w14:paraId="777C87C1" w14:textId="77777777" w:rsidR="00FC7DA9" w:rsidRDefault="00644C0F">
      <w:pPr>
        <w:numPr>
          <w:ilvl w:val="0"/>
          <w:numId w:val="1"/>
        </w:numPr>
        <w:spacing w:after="162" w:line="258" w:lineRule="auto"/>
        <w:ind w:hanging="360"/>
      </w:pPr>
      <w:r>
        <w:rPr>
          <w:rFonts w:ascii="Times New Roman" w:eastAsia="Times New Roman" w:hAnsi="Times New Roman" w:cs="Times New Roman"/>
          <w:sz w:val="24"/>
        </w:rPr>
        <w:t>You are asked to collaborate in designing an investigation to study a new treatment for COVID-19.  Assume the patients a</w:t>
      </w:r>
      <w:r>
        <w:rPr>
          <w:rFonts w:ascii="Times New Roman" w:eastAsia="Times New Roman" w:hAnsi="Times New Roman" w:cs="Times New Roman"/>
          <w:sz w:val="24"/>
        </w:rPr>
        <w:t xml:space="preserve">re eligible if they are over 18 years </w:t>
      </w:r>
      <w:proofErr w:type="gramStart"/>
      <w:r>
        <w:rPr>
          <w:rFonts w:ascii="Times New Roman" w:eastAsia="Times New Roman" w:hAnsi="Times New Roman" w:cs="Times New Roman"/>
          <w:sz w:val="24"/>
        </w:rPr>
        <w:t>old, and</w:t>
      </w:r>
      <w:proofErr w:type="gramEnd"/>
      <w:r>
        <w:rPr>
          <w:rFonts w:ascii="Times New Roman" w:eastAsia="Times New Roman" w:hAnsi="Times New Roman" w:cs="Times New Roman"/>
          <w:sz w:val="24"/>
        </w:rPr>
        <w:t xml:space="preserve"> hospitalized for covid-19 but not on a respirator at enrollment.  The outcome of interest is if they are intubated (yes or no) at some point.  Assume this treatment has never been studied for these </w:t>
      </w:r>
      <w:proofErr w:type="gramStart"/>
      <w:r>
        <w:rPr>
          <w:rFonts w:ascii="Times New Roman" w:eastAsia="Times New Roman" w:hAnsi="Times New Roman" w:cs="Times New Roman"/>
          <w:sz w:val="24"/>
        </w:rPr>
        <w:t>patients, b</w:t>
      </w:r>
      <w:r>
        <w:rPr>
          <w:rFonts w:ascii="Times New Roman" w:eastAsia="Times New Roman" w:hAnsi="Times New Roman" w:cs="Times New Roman"/>
          <w:sz w:val="24"/>
        </w:rPr>
        <w:t>ut</w:t>
      </w:r>
      <w:proofErr w:type="gramEnd"/>
      <w:r>
        <w:rPr>
          <w:rFonts w:ascii="Times New Roman" w:eastAsia="Times New Roman" w:hAnsi="Times New Roman" w:cs="Times New Roman"/>
          <w:sz w:val="24"/>
        </w:rPr>
        <w:t xml:space="preserve"> has been used for other illness and we know dosage levels that are safe.  Please describe how you would proceed to investigate this treatment.  State any assumptions you would make.  This should be an </w:t>
      </w:r>
      <w:proofErr w:type="gramStart"/>
      <w:r>
        <w:rPr>
          <w:rFonts w:ascii="Times New Roman" w:eastAsia="Times New Roman" w:hAnsi="Times New Roman" w:cs="Times New Roman"/>
          <w:sz w:val="24"/>
        </w:rPr>
        <w:t>open ended</w:t>
      </w:r>
      <w:proofErr w:type="gramEnd"/>
      <w:r>
        <w:rPr>
          <w:rFonts w:ascii="Times New Roman" w:eastAsia="Times New Roman" w:hAnsi="Times New Roman" w:cs="Times New Roman"/>
          <w:sz w:val="24"/>
        </w:rPr>
        <w:t xml:space="preserve"> question and you can describe your plan i</w:t>
      </w:r>
      <w:r>
        <w:rPr>
          <w:rFonts w:ascii="Times New Roman" w:eastAsia="Times New Roman" w:hAnsi="Times New Roman" w:cs="Times New Roman"/>
          <w:sz w:val="24"/>
        </w:rPr>
        <w:t xml:space="preserve">n no more than a page or two at most of text.  You can use anything you have learned in this course so far for clinical trials.  </w:t>
      </w:r>
      <w:proofErr w:type="gramStart"/>
      <w:r>
        <w:rPr>
          <w:rFonts w:ascii="Times New Roman" w:eastAsia="Times New Roman" w:hAnsi="Times New Roman" w:cs="Times New Roman"/>
          <w:sz w:val="24"/>
        </w:rPr>
        <w:t>I’m</w:t>
      </w:r>
      <w:proofErr w:type="gramEnd"/>
      <w:r>
        <w:rPr>
          <w:rFonts w:ascii="Times New Roman" w:eastAsia="Times New Roman" w:hAnsi="Times New Roman" w:cs="Times New Roman"/>
          <w:sz w:val="24"/>
        </w:rPr>
        <w:t xml:space="preserve"> interested to see how you take what you have learned and apply it. </w:t>
      </w:r>
    </w:p>
    <w:p w14:paraId="7F70E302" w14:textId="77777777" w:rsidR="00FC7DA9" w:rsidRDefault="00644C0F">
      <w:pPr>
        <w:spacing w:after="156"/>
      </w:pPr>
      <w:r>
        <w:rPr>
          <w:rFonts w:ascii="Times New Roman" w:eastAsia="Times New Roman" w:hAnsi="Times New Roman" w:cs="Times New Roman"/>
          <w:sz w:val="24"/>
        </w:rPr>
        <w:t xml:space="preserve"> </w:t>
      </w:r>
    </w:p>
    <w:p w14:paraId="28C1B326" w14:textId="77777777" w:rsidR="00FC7DA9" w:rsidRDefault="00644C0F">
      <w:pPr>
        <w:spacing w:after="4"/>
        <w:ind w:left="720"/>
      </w:pPr>
      <w:r>
        <w:rPr>
          <w:rFonts w:ascii="Times New Roman" w:eastAsia="Times New Roman" w:hAnsi="Times New Roman" w:cs="Times New Roman"/>
          <w:sz w:val="24"/>
        </w:rPr>
        <w:lastRenderedPageBreak/>
        <w:t xml:space="preserve"> </w:t>
      </w:r>
    </w:p>
    <w:p w14:paraId="2A02702E" w14:textId="77777777" w:rsidR="00FC7DA9" w:rsidRDefault="00644C0F">
      <w:pPr>
        <w:numPr>
          <w:ilvl w:val="0"/>
          <w:numId w:val="1"/>
        </w:numPr>
        <w:spacing w:after="152"/>
        <w:ind w:hanging="360"/>
      </w:pPr>
      <w:r>
        <w:t xml:space="preserve">24 Healthy volunteers participated in a randomized </w:t>
      </w:r>
      <w:r>
        <w:t xml:space="preserve">crossover study comparing the bioavailability of two formulations of a drug product.  The two formulations were either 5 50mg tablets (test formulation) or 5mL or an oral suspension (50 mg/mL; reference formulation).  Blood samples were obtained from 0 to </w:t>
      </w:r>
      <w:r>
        <w:t xml:space="preserve">32 hours from dosing and corresponding AUC values were </w:t>
      </w:r>
      <w:proofErr w:type="gramStart"/>
      <w:r>
        <w:t>calculated;  AUC</w:t>
      </w:r>
      <w:proofErr w:type="gramEnd"/>
      <w:r>
        <w:t xml:space="preserve"> values during each dosing period are given below according to randomization sequence.  For a subject randomized to sequence 1, the order of formulations was the reference formulation f</w:t>
      </w:r>
      <w:r>
        <w:t>ollowed by the test formulation.  For a subject randomized to sequence 2, the order of formulations was the test formulation followed by the reference formulation.</w:t>
      </w:r>
      <w:r>
        <w:rPr>
          <w:rFonts w:ascii="Times New Roman" w:eastAsia="Times New Roman" w:hAnsi="Times New Roman" w:cs="Times New Roman"/>
          <w:sz w:val="24"/>
        </w:rPr>
        <w:t xml:space="preserve"> </w:t>
      </w:r>
    </w:p>
    <w:p w14:paraId="3A96511B" w14:textId="77777777" w:rsidR="00FC7DA9" w:rsidRDefault="00644C0F">
      <w:pPr>
        <w:spacing w:after="156"/>
        <w:ind w:left="805" w:hanging="10"/>
      </w:pPr>
      <w:r>
        <w:t xml:space="preserve">Sequence Period 1 Period 2  </w:t>
      </w:r>
    </w:p>
    <w:p w14:paraId="33B23BB8" w14:textId="77777777" w:rsidR="00FC7DA9" w:rsidRDefault="00644C0F">
      <w:pPr>
        <w:spacing w:after="3"/>
        <w:ind w:left="805" w:hanging="10"/>
      </w:pPr>
      <w:r>
        <w:t xml:space="preserve">1 74.675 73.675  </w:t>
      </w:r>
    </w:p>
    <w:p w14:paraId="57A9E38D" w14:textId="77777777" w:rsidR="00FC7DA9" w:rsidRDefault="00644C0F">
      <w:pPr>
        <w:spacing w:after="3"/>
        <w:ind w:left="805" w:hanging="10"/>
      </w:pPr>
      <w:r>
        <w:t xml:space="preserve">1 96.400 93.250  </w:t>
      </w:r>
    </w:p>
    <w:p w14:paraId="2B8B6CAB" w14:textId="77777777" w:rsidR="00FC7DA9" w:rsidRDefault="00644C0F">
      <w:pPr>
        <w:spacing w:after="3"/>
        <w:ind w:left="805" w:hanging="10"/>
      </w:pPr>
      <w:r>
        <w:t xml:space="preserve">1 101.950 102.125  </w:t>
      </w:r>
    </w:p>
    <w:p w14:paraId="1ED4AACC" w14:textId="77777777" w:rsidR="00FC7DA9" w:rsidRDefault="00644C0F">
      <w:pPr>
        <w:spacing w:after="3"/>
        <w:ind w:left="805" w:hanging="10"/>
      </w:pPr>
      <w:r>
        <w:t xml:space="preserve">1 79.050 69.450  </w:t>
      </w:r>
    </w:p>
    <w:p w14:paraId="5FA9234F" w14:textId="77777777" w:rsidR="00FC7DA9" w:rsidRDefault="00644C0F">
      <w:pPr>
        <w:spacing w:after="3"/>
        <w:ind w:left="805" w:hanging="10"/>
      </w:pPr>
      <w:r>
        <w:t xml:space="preserve">1 79.050 69.025  </w:t>
      </w:r>
    </w:p>
    <w:p w14:paraId="76BC674F" w14:textId="77777777" w:rsidR="00FC7DA9" w:rsidRDefault="00644C0F">
      <w:pPr>
        <w:spacing w:after="3"/>
        <w:ind w:left="805" w:hanging="10"/>
      </w:pPr>
      <w:r>
        <w:t xml:space="preserve">1 85.950 68.700  </w:t>
      </w:r>
    </w:p>
    <w:p w14:paraId="34D44B32" w14:textId="77777777" w:rsidR="00FC7DA9" w:rsidRDefault="00644C0F">
      <w:pPr>
        <w:spacing w:after="3"/>
        <w:ind w:left="805" w:hanging="10"/>
      </w:pPr>
      <w:r>
        <w:t xml:space="preserve">1 69.725 59.425  </w:t>
      </w:r>
    </w:p>
    <w:p w14:paraId="4F557CA1" w14:textId="77777777" w:rsidR="00FC7DA9" w:rsidRDefault="00644C0F">
      <w:pPr>
        <w:spacing w:after="3"/>
        <w:ind w:left="805" w:hanging="10"/>
      </w:pPr>
      <w:r>
        <w:t xml:space="preserve">1 86.275 76.125  </w:t>
      </w:r>
    </w:p>
    <w:p w14:paraId="1D9B008F" w14:textId="77777777" w:rsidR="00FC7DA9" w:rsidRDefault="00644C0F">
      <w:pPr>
        <w:spacing w:after="3"/>
        <w:ind w:left="805" w:hanging="10"/>
      </w:pPr>
      <w:r>
        <w:t xml:space="preserve">1 112.675 114.875  </w:t>
      </w:r>
    </w:p>
    <w:p w14:paraId="5E714025" w14:textId="77777777" w:rsidR="00FC7DA9" w:rsidRDefault="00644C0F">
      <w:pPr>
        <w:spacing w:after="3"/>
        <w:ind w:left="805" w:hanging="10"/>
      </w:pPr>
      <w:r>
        <w:t xml:space="preserve">1 99.525 116.250  </w:t>
      </w:r>
    </w:p>
    <w:p w14:paraId="39B6AF3F" w14:textId="77777777" w:rsidR="00FC7DA9" w:rsidRDefault="00644C0F">
      <w:pPr>
        <w:spacing w:after="3"/>
        <w:ind w:left="805" w:hanging="10"/>
      </w:pPr>
      <w:r>
        <w:t xml:space="preserve">1 89.425 64.175  </w:t>
      </w:r>
    </w:p>
    <w:p w14:paraId="306DDBA1" w14:textId="77777777" w:rsidR="00FC7DA9" w:rsidRDefault="00644C0F">
      <w:pPr>
        <w:numPr>
          <w:ilvl w:val="1"/>
          <w:numId w:val="2"/>
        </w:numPr>
        <w:spacing w:after="3"/>
        <w:ind w:hanging="161"/>
      </w:pPr>
      <w:r>
        <w:t xml:space="preserve">55.175 74.575  </w:t>
      </w:r>
    </w:p>
    <w:p w14:paraId="018F7DDE" w14:textId="77777777" w:rsidR="00FC7DA9" w:rsidRDefault="00644C0F">
      <w:pPr>
        <w:numPr>
          <w:ilvl w:val="1"/>
          <w:numId w:val="2"/>
        </w:numPr>
        <w:spacing w:after="3"/>
        <w:ind w:hanging="161"/>
      </w:pPr>
      <w:r>
        <w:t xml:space="preserve">74.825 37.350  </w:t>
      </w:r>
    </w:p>
    <w:p w14:paraId="78DC60F9" w14:textId="77777777" w:rsidR="00FC7DA9" w:rsidRDefault="00644C0F">
      <w:pPr>
        <w:spacing w:after="3"/>
        <w:ind w:left="805" w:hanging="10"/>
      </w:pPr>
      <w:r>
        <w:t xml:space="preserve">2 86.875 51.925  </w:t>
      </w:r>
    </w:p>
    <w:p w14:paraId="39811A8F" w14:textId="77777777" w:rsidR="00FC7DA9" w:rsidRDefault="00644C0F">
      <w:pPr>
        <w:spacing w:after="3"/>
        <w:ind w:left="805" w:hanging="10"/>
      </w:pPr>
      <w:r>
        <w:t xml:space="preserve">2 81.675 72.175  </w:t>
      </w:r>
    </w:p>
    <w:p w14:paraId="28E4A6C2" w14:textId="77777777" w:rsidR="00FC7DA9" w:rsidRDefault="00644C0F">
      <w:pPr>
        <w:spacing w:after="3"/>
        <w:ind w:left="805" w:hanging="10"/>
      </w:pPr>
      <w:r>
        <w:t xml:space="preserve">2 92.700 77.500  </w:t>
      </w:r>
    </w:p>
    <w:p w14:paraId="66DE2CE7" w14:textId="77777777" w:rsidR="00FC7DA9" w:rsidRDefault="00644C0F">
      <w:pPr>
        <w:spacing w:after="3"/>
        <w:ind w:left="805" w:hanging="10"/>
      </w:pPr>
      <w:r>
        <w:t xml:space="preserve">2 50.450 71.875  </w:t>
      </w:r>
    </w:p>
    <w:p w14:paraId="746D7E3E" w14:textId="77777777" w:rsidR="00FC7DA9" w:rsidRDefault="00644C0F">
      <w:pPr>
        <w:spacing w:after="3"/>
        <w:ind w:left="805" w:hanging="10"/>
      </w:pPr>
      <w:r>
        <w:t xml:space="preserve">2 66.125 94.025  </w:t>
      </w:r>
    </w:p>
    <w:p w14:paraId="2791190B" w14:textId="77777777" w:rsidR="00FC7DA9" w:rsidRDefault="00644C0F">
      <w:pPr>
        <w:spacing w:after="3"/>
        <w:ind w:left="805" w:hanging="10"/>
      </w:pPr>
      <w:r>
        <w:t xml:space="preserve">2 122.450 124.975  </w:t>
      </w:r>
    </w:p>
    <w:p w14:paraId="047A930A" w14:textId="77777777" w:rsidR="00FC7DA9" w:rsidRDefault="00644C0F">
      <w:pPr>
        <w:spacing w:after="3"/>
        <w:ind w:left="805" w:hanging="10"/>
      </w:pPr>
      <w:r>
        <w:t xml:space="preserve">2 99.075 85.225  </w:t>
      </w:r>
    </w:p>
    <w:p w14:paraId="6D67AA84" w14:textId="77777777" w:rsidR="00FC7DA9" w:rsidRDefault="00644C0F">
      <w:pPr>
        <w:spacing w:after="3"/>
        <w:ind w:left="805" w:hanging="10"/>
      </w:pPr>
      <w:r>
        <w:t xml:space="preserve">2 86.350 95.925  </w:t>
      </w:r>
    </w:p>
    <w:p w14:paraId="3D057986" w14:textId="77777777" w:rsidR="00FC7DA9" w:rsidRDefault="00644C0F">
      <w:pPr>
        <w:spacing w:after="3"/>
        <w:ind w:left="805" w:hanging="10"/>
      </w:pPr>
      <w:r>
        <w:t xml:space="preserve">2 49.925 67.100  </w:t>
      </w:r>
    </w:p>
    <w:p w14:paraId="1613CEFE" w14:textId="77777777" w:rsidR="00FC7DA9" w:rsidRDefault="00644C0F">
      <w:pPr>
        <w:spacing w:after="3"/>
        <w:ind w:left="805" w:hanging="10"/>
      </w:pPr>
      <w:r>
        <w:t xml:space="preserve">2 42.700 59.425  </w:t>
      </w:r>
    </w:p>
    <w:p w14:paraId="10F89A6D" w14:textId="77777777" w:rsidR="00FC7DA9" w:rsidRDefault="00644C0F">
      <w:pPr>
        <w:tabs>
          <w:tab w:val="center" w:pos="866"/>
          <w:tab w:val="center" w:pos="1864"/>
        </w:tabs>
        <w:spacing w:after="3"/>
      </w:pPr>
      <w:r>
        <w:tab/>
      </w:r>
      <w:r>
        <w:t>2</w:t>
      </w:r>
      <w:r>
        <w:rPr>
          <w:rFonts w:ascii="Arial" w:eastAsia="Arial" w:hAnsi="Arial" w:cs="Arial"/>
        </w:rPr>
        <w:t xml:space="preserve"> </w:t>
      </w:r>
      <w:r>
        <w:rPr>
          <w:rFonts w:ascii="Arial" w:eastAsia="Arial" w:hAnsi="Arial" w:cs="Arial"/>
        </w:rPr>
        <w:tab/>
      </w:r>
      <w:r>
        <w:t xml:space="preserve">91.725 114.050 </w:t>
      </w:r>
    </w:p>
    <w:p w14:paraId="2C490B42" w14:textId="77777777" w:rsidR="00FC7DA9" w:rsidRDefault="00644C0F">
      <w:pPr>
        <w:spacing w:after="5" w:line="397" w:lineRule="auto"/>
        <w:ind w:right="8482"/>
      </w:pPr>
      <w:r>
        <w:t xml:space="preserve">  </w:t>
      </w:r>
    </w:p>
    <w:p w14:paraId="0941BDA5" w14:textId="77777777" w:rsidR="00FC7DA9" w:rsidRDefault="00644C0F">
      <w:pPr>
        <w:numPr>
          <w:ilvl w:val="1"/>
          <w:numId w:val="1"/>
        </w:numPr>
        <w:spacing w:after="3"/>
        <w:ind w:hanging="360"/>
      </w:pPr>
      <w:r>
        <w:t>Plot the AUC values using PROC TTEST.  The vertical axis should be the AUC and the horizontal axis should</w:t>
      </w:r>
      <w:r>
        <w:t xml:space="preserve"> show the reference formulation on the left and test formulation on the right.  The plot should distinguish between sequence 1 and sequence 2 subjects.  Overall means should also be superimposed.   </w:t>
      </w:r>
    </w:p>
    <w:p w14:paraId="3A150E2D" w14:textId="77777777" w:rsidR="00FC7DA9" w:rsidRDefault="00644C0F">
      <w:pPr>
        <w:spacing w:after="0"/>
        <w:ind w:left="1080"/>
      </w:pPr>
      <w:r>
        <w:t xml:space="preserve"> </w:t>
      </w:r>
    </w:p>
    <w:p w14:paraId="54CDA6C5" w14:textId="77777777" w:rsidR="00FC7DA9" w:rsidRDefault="00644C0F">
      <w:pPr>
        <w:numPr>
          <w:ilvl w:val="1"/>
          <w:numId w:val="1"/>
        </w:numPr>
        <w:spacing w:after="3"/>
        <w:ind w:hanging="360"/>
      </w:pPr>
      <w:r>
        <w:lastRenderedPageBreak/>
        <w:t xml:space="preserve">Perform a statistical test assessing whether there are </w:t>
      </w:r>
      <w:r>
        <w:t xml:space="preserve">any period effects in this crossover trial.  Calculations either by hand or via SAS PROC TTEST are acceptable </w:t>
      </w:r>
      <w:proofErr w:type="gramStart"/>
      <w:r>
        <w:t>as long as</w:t>
      </w:r>
      <w:proofErr w:type="gramEnd"/>
      <w:r>
        <w:t xml:space="preserve"> relevant code and output are shown.  Summarize your results in a sentence.   </w:t>
      </w:r>
    </w:p>
    <w:p w14:paraId="7083A5E9" w14:textId="77777777" w:rsidR="00FC7DA9" w:rsidRDefault="00644C0F">
      <w:pPr>
        <w:spacing w:after="2"/>
        <w:ind w:left="1080"/>
      </w:pPr>
      <w:r>
        <w:t xml:space="preserve"> </w:t>
      </w:r>
    </w:p>
    <w:p w14:paraId="0580CD64" w14:textId="77777777" w:rsidR="00FC7DA9" w:rsidRDefault="00644C0F">
      <w:pPr>
        <w:numPr>
          <w:ilvl w:val="1"/>
          <w:numId w:val="1"/>
        </w:numPr>
        <w:spacing w:after="161"/>
        <w:ind w:hanging="360"/>
      </w:pPr>
      <w:r>
        <w:t xml:space="preserve">How much power was available for detecting a </w:t>
      </w:r>
      <w:proofErr w:type="gramStart"/>
      <w:r>
        <w:t>5 unit</w:t>
      </w:r>
      <w:proofErr w:type="gramEnd"/>
      <w:r>
        <w:t xml:space="preserve"> period effect in this study? (You may use STPLAN and report the parameters you used as well as your result.) </w:t>
      </w:r>
    </w:p>
    <w:p w14:paraId="39541E9D" w14:textId="77777777" w:rsidR="00FC7DA9" w:rsidRDefault="00644C0F">
      <w:pPr>
        <w:spacing w:after="155"/>
        <w:ind w:left="720"/>
      </w:pPr>
      <w:r>
        <w:t xml:space="preserve"> </w:t>
      </w:r>
    </w:p>
    <w:p w14:paraId="6B274A18" w14:textId="77777777" w:rsidR="00FC7DA9" w:rsidRDefault="00644C0F">
      <w:pPr>
        <w:numPr>
          <w:ilvl w:val="1"/>
          <w:numId w:val="1"/>
        </w:numPr>
        <w:spacing w:after="155"/>
        <w:ind w:hanging="360"/>
      </w:pPr>
      <w:r>
        <w:t>Assuming no carryover effects, estimate the overall treatment difference adjusted for period</w:t>
      </w:r>
      <w:r>
        <w:t xml:space="preserve">. </w:t>
      </w:r>
    </w:p>
    <w:p w14:paraId="5D526B7C" w14:textId="77777777" w:rsidR="00FC7DA9" w:rsidRDefault="00644C0F">
      <w:r>
        <w:t xml:space="preserve"> </w:t>
      </w:r>
    </w:p>
    <w:p w14:paraId="3DF25C1F" w14:textId="77777777" w:rsidR="00FC7DA9" w:rsidRDefault="00644C0F">
      <w:pPr>
        <w:spacing w:after="0"/>
        <w:ind w:left="1080"/>
      </w:pPr>
      <w:r>
        <w:t xml:space="preserve"> </w:t>
      </w:r>
    </w:p>
    <w:p w14:paraId="15C4F691" w14:textId="77777777" w:rsidR="00FC7DA9" w:rsidRDefault="00644C0F">
      <w:pPr>
        <w:numPr>
          <w:ilvl w:val="1"/>
          <w:numId w:val="1"/>
        </w:numPr>
        <w:spacing w:after="3"/>
        <w:ind w:hanging="360"/>
      </w:pPr>
      <w:r>
        <w:t xml:space="preserve">Is this treatment difference statistically significant?  Perform the appropriate statistical test and summarize results.  Calculations either by hand or software such as via SAS PROC TTEST are acceptable </w:t>
      </w:r>
      <w:proofErr w:type="gramStart"/>
      <w:r>
        <w:t>as long as</w:t>
      </w:r>
      <w:proofErr w:type="gramEnd"/>
      <w:r>
        <w:t xml:space="preserve"> relevant code and output are shown</w:t>
      </w:r>
      <w:r>
        <w:t xml:space="preserve">.   </w:t>
      </w:r>
    </w:p>
    <w:p w14:paraId="4033E255" w14:textId="77777777" w:rsidR="00FC7DA9" w:rsidRDefault="00644C0F">
      <w:pPr>
        <w:spacing w:after="0"/>
        <w:ind w:left="1080"/>
      </w:pPr>
      <w:r>
        <w:t xml:space="preserve"> </w:t>
      </w:r>
    </w:p>
    <w:p w14:paraId="217E9F90" w14:textId="77777777" w:rsidR="00FC7DA9" w:rsidRDefault="00644C0F">
      <w:pPr>
        <w:numPr>
          <w:ilvl w:val="1"/>
          <w:numId w:val="1"/>
        </w:numPr>
        <w:spacing w:after="3"/>
        <w:ind w:hanging="360"/>
      </w:pPr>
      <w:r>
        <w:t xml:space="preserve">How much power was available for detecting a </w:t>
      </w:r>
      <w:proofErr w:type="gramStart"/>
      <w:r>
        <w:t>5 unit</w:t>
      </w:r>
      <w:proofErr w:type="gramEnd"/>
      <w:r>
        <w:t xml:space="preserve"> treatment effect in this study? Is it bigger, smaller or the same as the power available for detecting a period effect of 5 units?  Explain why it is considered harder to detect period effects than</w:t>
      </w:r>
      <w:r>
        <w:t xml:space="preserve"> the overall treatment effect in a crossover study.   </w:t>
      </w:r>
    </w:p>
    <w:p w14:paraId="11BC1222" w14:textId="77777777" w:rsidR="00FC7DA9" w:rsidRDefault="00644C0F">
      <w:pPr>
        <w:spacing w:after="0"/>
        <w:ind w:left="1440"/>
      </w:pPr>
      <w:r>
        <w:t xml:space="preserve"> </w:t>
      </w:r>
    </w:p>
    <w:p w14:paraId="77106C61" w14:textId="77777777" w:rsidR="00FC7DA9" w:rsidRDefault="00644C0F">
      <w:pPr>
        <w:numPr>
          <w:ilvl w:val="1"/>
          <w:numId w:val="1"/>
        </w:numPr>
        <w:spacing w:after="156"/>
        <w:ind w:hanging="360"/>
      </w:pPr>
      <w:r>
        <w:t xml:space="preserve">Was there statistical evidence of a carryover effect?  Perform an appropriate statistical test and report results.  (Not automatically included as output from PROC TTEST crossover analysis). </w:t>
      </w:r>
    </w:p>
    <w:p w14:paraId="4C1AB0C3" w14:textId="77777777" w:rsidR="00FC7DA9" w:rsidRDefault="00644C0F">
      <w:pPr>
        <w:spacing w:after="175"/>
      </w:pPr>
      <w:r>
        <w:rPr>
          <w:i/>
          <w:color w:val="808080"/>
        </w:rPr>
        <w:t xml:space="preserve"> </w:t>
      </w:r>
    </w:p>
    <w:p w14:paraId="36FBF57E" w14:textId="77777777" w:rsidR="00FC7DA9" w:rsidRDefault="00644C0F">
      <w:pPr>
        <w:spacing w:after="0"/>
        <w:ind w:left="1440"/>
      </w:pPr>
      <w:r>
        <w:rPr>
          <w:rFonts w:ascii="Times New Roman" w:eastAsia="Times New Roman" w:hAnsi="Times New Roman" w:cs="Times New Roman"/>
          <w:sz w:val="24"/>
        </w:rPr>
        <w:t xml:space="preserve"> </w:t>
      </w:r>
    </w:p>
    <w:sectPr w:rsidR="00FC7DA9">
      <w:pgSz w:w="12240" w:h="15840"/>
      <w:pgMar w:top="1460" w:right="1439" w:bottom="1485" w:left="14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41A05"/>
    <w:multiLevelType w:val="hybridMultilevel"/>
    <w:tmpl w:val="B8DEB242"/>
    <w:lvl w:ilvl="0" w:tplc="10A4B45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20FEEA">
      <w:start w:val="1"/>
      <w:numFmt w:val="decimal"/>
      <w:lvlText w:val="%2"/>
      <w:lvlJc w:val="left"/>
      <w:pPr>
        <w:ind w:left="9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765A72">
      <w:start w:val="1"/>
      <w:numFmt w:val="lowerRoman"/>
      <w:lvlText w:val="%3"/>
      <w:lvlJc w:val="left"/>
      <w:pPr>
        <w:ind w:left="1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DE3F70">
      <w:start w:val="1"/>
      <w:numFmt w:val="decimal"/>
      <w:lvlText w:val="%4"/>
      <w:lvlJc w:val="left"/>
      <w:pPr>
        <w:ind w:left="2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AE7EEC">
      <w:start w:val="1"/>
      <w:numFmt w:val="lowerLetter"/>
      <w:lvlText w:val="%5"/>
      <w:lvlJc w:val="left"/>
      <w:pPr>
        <w:ind w:left="3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AD77C">
      <w:start w:val="1"/>
      <w:numFmt w:val="lowerRoman"/>
      <w:lvlText w:val="%6"/>
      <w:lvlJc w:val="left"/>
      <w:pPr>
        <w:ind w:left="4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149E10">
      <w:start w:val="1"/>
      <w:numFmt w:val="decimal"/>
      <w:lvlText w:val="%7"/>
      <w:lvlJc w:val="left"/>
      <w:pPr>
        <w:ind w:left="4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344BC2E">
      <w:start w:val="1"/>
      <w:numFmt w:val="lowerLetter"/>
      <w:lvlText w:val="%8"/>
      <w:lvlJc w:val="left"/>
      <w:pPr>
        <w:ind w:left="5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5C2796">
      <w:start w:val="1"/>
      <w:numFmt w:val="lowerRoman"/>
      <w:lvlText w:val="%9"/>
      <w:lvlJc w:val="left"/>
      <w:pPr>
        <w:ind w:left="6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54E139A"/>
    <w:multiLevelType w:val="hybridMultilevel"/>
    <w:tmpl w:val="7F9CFFCE"/>
    <w:lvl w:ilvl="0" w:tplc="4E42D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000388">
      <w:start w:val="1"/>
      <w:numFmt w:val="lowerLetter"/>
      <w:lvlText w:val="%2"/>
      <w:lvlJc w:val="left"/>
      <w:pPr>
        <w:ind w:left="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1ECE32">
      <w:start w:val="1"/>
      <w:numFmt w:val="lowerRoman"/>
      <w:lvlText w:val="%3"/>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E457A6">
      <w:start w:val="1"/>
      <w:numFmt w:val="lowerRoman"/>
      <w:lvlRestart w:val="0"/>
      <w:lvlText w:val="(%4)"/>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70912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7693F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AAEB9C">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841002">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9E6A2E">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2807334"/>
    <w:multiLevelType w:val="hybridMultilevel"/>
    <w:tmpl w:val="B53A1888"/>
    <w:lvl w:ilvl="0" w:tplc="628E5E3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5483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6E7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50E7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72A0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4E1E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3ECF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2433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24F5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5DC4E74"/>
    <w:multiLevelType w:val="hybridMultilevel"/>
    <w:tmpl w:val="EB9A29F0"/>
    <w:lvl w:ilvl="0" w:tplc="309427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846940">
      <w:start w:val="1"/>
      <w:numFmt w:val="lowerLetter"/>
      <w:lvlText w:val="%2"/>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8636A6">
      <w:start w:val="1"/>
      <w:numFmt w:val="lowerRoman"/>
      <w:lvlText w:val="%3"/>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80DF18">
      <w:start w:val="1"/>
      <w:numFmt w:val="decimal"/>
      <w:lvlText w:val="%4"/>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62F586">
      <w:start w:val="1"/>
      <w:numFmt w:val="lowerRoman"/>
      <w:lvlRestart w:val="0"/>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0A7356">
      <w:start w:val="1"/>
      <w:numFmt w:val="lowerRoman"/>
      <w:lvlText w:val="%6"/>
      <w:lvlJc w:val="left"/>
      <w:pPr>
        <w:ind w:left="2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C2359C">
      <w:start w:val="1"/>
      <w:numFmt w:val="decimal"/>
      <w:lvlText w:val="%7"/>
      <w:lvlJc w:val="left"/>
      <w:pPr>
        <w:ind w:left="3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E6D9D2">
      <w:start w:val="1"/>
      <w:numFmt w:val="lowerLetter"/>
      <w:lvlText w:val="%8"/>
      <w:lvlJc w:val="left"/>
      <w:pPr>
        <w:ind w:left="4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10C0E4">
      <w:start w:val="1"/>
      <w:numFmt w:val="lowerRoman"/>
      <w:lvlText w:val="%9"/>
      <w:lvlJc w:val="left"/>
      <w:pPr>
        <w:ind w:left="5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DA9"/>
    <w:rsid w:val="00644C0F"/>
    <w:rsid w:val="00E976D8"/>
    <w:rsid w:val="00FC7D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832A"/>
  <w15:docId w15:val="{263752DE-18C3-4BFC-9007-E36B82BD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876</Words>
  <Characters>4998</Characters>
  <Application>Microsoft Office Word</Application>
  <DocSecurity>0</DocSecurity>
  <Lines>41</Lines>
  <Paragraphs>11</Paragraphs>
  <ScaleCrop>false</ScaleCrop>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Final Exam 2021.docx</dc:title>
  <dc:subject/>
  <dc:creator>fselkhi7@outlook.com</dc:creator>
  <cp:keywords/>
  <cp:lastModifiedBy>fselkhi7@outlook.com</cp:lastModifiedBy>
  <cp:revision>3</cp:revision>
  <dcterms:created xsi:type="dcterms:W3CDTF">2021-04-30T23:29:00Z</dcterms:created>
  <dcterms:modified xsi:type="dcterms:W3CDTF">2021-04-30T23:30:00Z</dcterms:modified>
</cp:coreProperties>
</file>