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6A5352" w14:textId="77777777" w:rsidR="00DF75B9" w:rsidRPr="00851068" w:rsidRDefault="00DF75B9" w:rsidP="00DF75B9">
      <w:pPr>
        <w:rPr>
          <w:sz w:val="24"/>
        </w:rPr>
      </w:pPr>
      <w:r w:rsidRPr="00851068">
        <w:rPr>
          <w:sz w:val="24"/>
        </w:rPr>
        <w:t>MTE-40039: Experimental Research Methodology</w:t>
      </w:r>
      <w:r w:rsidR="00851068" w:rsidRPr="00851068">
        <w:rPr>
          <w:sz w:val="24"/>
        </w:rPr>
        <w:t xml:space="preserve"> – Statistical report</w:t>
      </w:r>
    </w:p>
    <w:p w14:paraId="510B57D1" w14:textId="77777777" w:rsidR="00DF75B9" w:rsidRDefault="00DF75B9" w:rsidP="00DF75B9"/>
    <w:p w14:paraId="3B34BD79" w14:textId="77777777" w:rsidR="00851068" w:rsidRPr="00851068" w:rsidRDefault="00851068" w:rsidP="00DF75B9">
      <w:pPr>
        <w:rPr>
          <w:b/>
        </w:rPr>
      </w:pPr>
      <w:r w:rsidRPr="00851068">
        <w:rPr>
          <w:b/>
        </w:rPr>
        <w:t>Relevant learning outcomes</w:t>
      </w:r>
    </w:p>
    <w:p w14:paraId="7155AEE9" w14:textId="77777777" w:rsidR="00851068" w:rsidRDefault="00851068" w:rsidP="00851068">
      <w:pPr>
        <w:pStyle w:val="ListParagraph"/>
        <w:numPr>
          <w:ilvl w:val="0"/>
          <w:numId w:val="3"/>
        </w:numPr>
      </w:pPr>
      <w:r>
        <w:t xml:space="preserve">Demonstrate a practical understanding of statistical designs, use of power analysis and statistical procedures with which to analyse experimental data. </w:t>
      </w:r>
    </w:p>
    <w:p w14:paraId="7F240652" w14:textId="77777777" w:rsidR="00851068" w:rsidRDefault="00851068" w:rsidP="00851068">
      <w:pPr>
        <w:pStyle w:val="ListParagraph"/>
        <w:numPr>
          <w:ilvl w:val="0"/>
          <w:numId w:val="3"/>
        </w:numPr>
      </w:pPr>
      <w:r>
        <w:t xml:space="preserve">Communicate findings for non-specialist audiences using simple concepts such as probability or odds. </w:t>
      </w:r>
    </w:p>
    <w:p w14:paraId="2413645D" w14:textId="77777777" w:rsidR="00851068" w:rsidRDefault="00851068" w:rsidP="00851068">
      <w:pPr>
        <w:pStyle w:val="ListParagraph"/>
        <w:numPr>
          <w:ilvl w:val="0"/>
          <w:numId w:val="3"/>
        </w:numPr>
      </w:pPr>
      <w:r>
        <w:t>Make a judicious and informed selection of statistical approaches used and their relevance within the field.</w:t>
      </w:r>
    </w:p>
    <w:p w14:paraId="16FDFEE8" w14:textId="77777777" w:rsidR="00851068" w:rsidRDefault="00851068" w:rsidP="00DF75B9"/>
    <w:p w14:paraId="2928C9D2" w14:textId="77777777" w:rsidR="00851068" w:rsidRPr="00851068" w:rsidRDefault="005B4A52" w:rsidP="00DF75B9">
      <w:pPr>
        <w:rPr>
          <w:b/>
        </w:rPr>
      </w:pPr>
      <w:r>
        <w:rPr>
          <w:b/>
        </w:rPr>
        <w:t>Data d</w:t>
      </w:r>
      <w:r w:rsidR="00851068" w:rsidRPr="00851068">
        <w:rPr>
          <w:b/>
        </w:rPr>
        <w:t>escription</w:t>
      </w:r>
    </w:p>
    <w:p w14:paraId="1CD35854" w14:textId="00CC74CE" w:rsidR="005B4A52" w:rsidRDefault="00851068" w:rsidP="00DF75B9">
      <w:r>
        <w:t xml:space="preserve">The dataset you are given contains </w:t>
      </w:r>
      <w:r w:rsidR="00C01688">
        <w:t xml:space="preserve">the results of an experiment to compare the </w:t>
      </w:r>
      <w:r w:rsidR="00175CEA">
        <w:t>matrix production</w:t>
      </w:r>
      <w:r w:rsidR="00C01688">
        <w:t xml:space="preserve"> </w:t>
      </w:r>
      <w:r w:rsidR="00175CEA">
        <w:t>by</w:t>
      </w:r>
      <w:r w:rsidR="00C01688">
        <w:t xml:space="preserve"> human </w:t>
      </w:r>
      <w:r w:rsidR="00175CEA">
        <w:t xml:space="preserve">chondrocytes </w:t>
      </w:r>
      <w:r w:rsidR="00C01688">
        <w:t xml:space="preserve">that </w:t>
      </w:r>
      <w:r w:rsidR="00202165">
        <w:t>we</w:t>
      </w:r>
      <w:r w:rsidR="00C01688">
        <w:t xml:space="preserve">re grown in different scaffolds. There </w:t>
      </w:r>
      <w:r w:rsidR="00320910">
        <w:t>we</w:t>
      </w:r>
      <w:r w:rsidR="00C01688">
        <w:t>re three types of scaffolds (</w:t>
      </w:r>
      <w:r w:rsidR="006A3721">
        <w:t>Extracel</w:t>
      </w:r>
      <w:r w:rsidR="00C01688">
        <w:t xml:space="preserve">, </w:t>
      </w:r>
      <w:r w:rsidR="006A3721">
        <w:t>Puramatrix and Alginate</w:t>
      </w:r>
      <w:r w:rsidR="00CF04A6">
        <w:t>, the latter serving as a control)</w:t>
      </w:r>
      <w:r w:rsidR="00C01688">
        <w:t xml:space="preserve">, and each type </w:t>
      </w:r>
      <w:r w:rsidR="00CF04A6">
        <w:t>was produced at</w:t>
      </w:r>
      <w:r w:rsidR="00320910">
        <w:t xml:space="preserve"> two </w:t>
      </w:r>
      <w:r w:rsidR="00CF04A6">
        <w:t>volume fractions</w:t>
      </w:r>
      <w:r w:rsidR="00320910">
        <w:t xml:space="preserve">: </w:t>
      </w:r>
      <w:r w:rsidR="00CF04A6">
        <w:t>low (1%) and high (2%)</w:t>
      </w:r>
      <w:r w:rsidR="00320910">
        <w:t xml:space="preserve">. The total number of conditions was therefore six. </w:t>
      </w:r>
      <w:r w:rsidR="005B4A52">
        <w:t xml:space="preserve">The research aimed to answer the following questions: (1) does the type of scaffold affect </w:t>
      </w:r>
      <w:r w:rsidR="00CF04A6">
        <w:t>matrix</w:t>
      </w:r>
      <w:r w:rsidR="005B4A52">
        <w:t xml:space="preserve"> pro</w:t>
      </w:r>
      <w:r w:rsidR="00CF04A6">
        <w:t>duction</w:t>
      </w:r>
      <w:r w:rsidR="005B4A52">
        <w:t xml:space="preserve">? (2) does </w:t>
      </w:r>
      <w:r w:rsidR="00CF04A6">
        <w:t>changing gel density</w:t>
      </w:r>
      <w:r w:rsidR="005B4A52">
        <w:t xml:space="preserve"> affect </w:t>
      </w:r>
      <w:r w:rsidR="009B2C5D">
        <w:t>matrix production</w:t>
      </w:r>
      <w:bookmarkStart w:id="0" w:name="_GoBack"/>
      <w:bookmarkEnd w:id="0"/>
      <w:r w:rsidR="005B4A52">
        <w:t xml:space="preserve">? and (3) </w:t>
      </w:r>
      <w:r w:rsidR="006321B2">
        <w:t xml:space="preserve">does </w:t>
      </w:r>
      <w:r w:rsidR="00CF04A6">
        <w:t>gel density</w:t>
      </w:r>
      <w:r w:rsidR="006321B2">
        <w:t xml:space="preserve"> affect the difference in </w:t>
      </w:r>
      <w:r w:rsidR="00CF04A6">
        <w:t>matrix production</w:t>
      </w:r>
      <w:r w:rsidR="006321B2">
        <w:t xml:space="preserve"> between the types of scaffold?</w:t>
      </w:r>
    </w:p>
    <w:p w14:paraId="72F05C97" w14:textId="78EB5B0E" w:rsidR="005B4A52" w:rsidRDefault="00320910" w:rsidP="00DF75B9">
      <w:r>
        <w:t>For each condition, the experimental procedure was performed three times, giving a total sample size of 18</w:t>
      </w:r>
      <w:r w:rsidR="0067449A">
        <w:t xml:space="preserve"> scaffolds</w:t>
      </w:r>
      <w:r>
        <w:t>.</w:t>
      </w:r>
      <w:r w:rsidR="005B4A52">
        <w:t xml:space="preserve"> </w:t>
      </w:r>
      <w:r w:rsidR="0067449A">
        <w:t xml:space="preserve">In each scaffold, the same number of cells was seeded. </w:t>
      </w:r>
      <w:r>
        <w:t xml:space="preserve">The </w:t>
      </w:r>
      <w:r w:rsidR="0067449A">
        <w:t xml:space="preserve">main outcome measure </w:t>
      </w:r>
      <w:r>
        <w:t xml:space="preserve">of the </w:t>
      </w:r>
      <w:r w:rsidR="0067449A">
        <w:t xml:space="preserve">experiments was the </w:t>
      </w:r>
      <w:r w:rsidR="00CF04A6">
        <w:t xml:space="preserve">total amount of sulphated glycosaminoglycan (sGAG, in micrograms) </w:t>
      </w:r>
      <w:r w:rsidR="0067449A">
        <w:t xml:space="preserve">in each scaffold after </w:t>
      </w:r>
      <w:r w:rsidR="00CF04A6">
        <w:t>14</w:t>
      </w:r>
      <w:r w:rsidR="0067449A">
        <w:t xml:space="preserve"> </w:t>
      </w:r>
      <w:r w:rsidR="00CF04A6">
        <w:t>days</w:t>
      </w:r>
      <w:r w:rsidR="005B4A52">
        <w:t xml:space="preserve"> of culture (Table 1). </w:t>
      </w:r>
    </w:p>
    <w:p w14:paraId="0A1CF10A" w14:textId="0F136578" w:rsidR="00320910" w:rsidRPr="005B4A52" w:rsidRDefault="005B4A52" w:rsidP="005B4A52">
      <w:pPr>
        <w:spacing w:after="0"/>
        <w:rPr>
          <w:i/>
        </w:rPr>
      </w:pPr>
      <w:r w:rsidRPr="005B4A52">
        <w:rPr>
          <w:i/>
        </w:rPr>
        <w:t xml:space="preserve">Table 1 </w:t>
      </w:r>
      <w:r w:rsidR="00CF04A6">
        <w:rPr>
          <w:i/>
        </w:rPr>
        <w:t>Amount</w:t>
      </w:r>
      <w:r w:rsidRPr="005B4A52">
        <w:rPr>
          <w:i/>
        </w:rPr>
        <w:t xml:space="preserve"> of </w:t>
      </w:r>
      <w:r w:rsidR="00CF04A6">
        <w:rPr>
          <w:i/>
        </w:rPr>
        <w:t>sGAG</w:t>
      </w:r>
      <w:r w:rsidRPr="005B4A52">
        <w:rPr>
          <w:i/>
        </w:rPr>
        <w:t xml:space="preserve"> in each scaffold after </w:t>
      </w:r>
      <w:r w:rsidR="00CF04A6">
        <w:rPr>
          <w:i/>
        </w:rPr>
        <w:t>14</w:t>
      </w:r>
      <w:r w:rsidRPr="005B4A52">
        <w:rPr>
          <w:i/>
        </w:rPr>
        <w:t xml:space="preserve"> </w:t>
      </w:r>
      <w:r w:rsidR="00CF04A6">
        <w:rPr>
          <w:i/>
        </w:rPr>
        <w:t xml:space="preserve">days </w:t>
      </w:r>
      <w:r w:rsidRPr="005B4A52">
        <w:rPr>
          <w:i/>
        </w:rPr>
        <w:t>of culture</w:t>
      </w:r>
      <w:r w:rsidR="00CF04A6">
        <w:rPr>
          <w:i/>
        </w:rPr>
        <w:t xml:space="preserve"> (µg)</w:t>
      </w:r>
    </w:p>
    <w:tbl>
      <w:tblPr>
        <w:tblW w:w="0" w:type="auto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1850"/>
        <w:gridCol w:w="1894"/>
      </w:tblGrid>
      <w:tr w:rsidR="005B4A52" w:rsidRPr="005B4A52" w14:paraId="77FEAD24" w14:textId="77777777" w:rsidTr="005B4A52">
        <w:trPr>
          <w:trHeight w:val="258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BA91" w14:textId="0D7467F7" w:rsidR="005B4A52" w:rsidRPr="005B4A52" w:rsidRDefault="00832E39" w:rsidP="005B4A5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Scaffold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D0D6A" w14:textId="617F8811" w:rsidR="005B4A52" w:rsidRPr="005B4A52" w:rsidRDefault="00832E39" w:rsidP="005B4A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Low density (1%)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872F3" w14:textId="361E6E83" w:rsidR="005B4A52" w:rsidRPr="005B4A52" w:rsidRDefault="00832E39" w:rsidP="005B4A5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High density (2%)</w:t>
            </w:r>
          </w:p>
        </w:tc>
      </w:tr>
      <w:tr w:rsidR="00EB6632" w:rsidRPr="005B4A52" w14:paraId="4A2A0FAB" w14:textId="77777777" w:rsidTr="00274B12">
        <w:trPr>
          <w:trHeight w:val="258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2841" w14:textId="2AD532F7" w:rsidR="00EB6632" w:rsidRPr="005B4A52" w:rsidRDefault="00EB6632" w:rsidP="00EB6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Extracel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82607EC" w14:textId="6C472C37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41.3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60ADF6C" w14:textId="79F00AC1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44.1</w:t>
            </w:r>
          </w:p>
        </w:tc>
      </w:tr>
      <w:tr w:rsidR="00EB6632" w:rsidRPr="005B4A52" w14:paraId="298C30EC" w14:textId="77777777" w:rsidTr="00274B12">
        <w:trPr>
          <w:trHeight w:val="25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AA8005E" w14:textId="77777777" w:rsidR="00EB6632" w:rsidRPr="005B4A52" w:rsidRDefault="00EB6632" w:rsidP="00EB6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2A22E98C" w14:textId="199AE027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42.7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6659B5" w14:textId="460A6D42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44.1</w:t>
            </w:r>
          </w:p>
        </w:tc>
      </w:tr>
      <w:tr w:rsidR="00EB6632" w:rsidRPr="005B4A52" w14:paraId="1DB291AD" w14:textId="77777777" w:rsidTr="00274B12">
        <w:trPr>
          <w:trHeight w:val="25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23DA21C" w14:textId="77777777" w:rsidR="00EB6632" w:rsidRPr="005B4A52" w:rsidRDefault="00EB6632" w:rsidP="00EB6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1180AD85" w14:textId="53DDDBDA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43.4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8D7447" w14:textId="44079C85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46.2</w:t>
            </w:r>
          </w:p>
        </w:tc>
      </w:tr>
      <w:tr w:rsidR="00EB6632" w:rsidRPr="005B4A52" w14:paraId="6F9F405B" w14:textId="77777777" w:rsidTr="00274B12">
        <w:trPr>
          <w:trHeight w:val="269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68B5111" w14:textId="1EFD754E" w:rsidR="00EB6632" w:rsidRPr="005B4A52" w:rsidRDefault="00EB6632" w:rsidP="00EB6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Puramatrix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B1F45D" w14:textId="415ACDF3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51.8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F83894" w14:textId="190EF56F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52.5</w:t>
            </w:r>
          </w:p>
        </w:tc>
      </w:tr>
      <w:tr w:rsidR="00EB6632" w:rsidRPr="005B4A52" w14:paraId="4C105243" w14:textId="77777777" w:rsidTr="00274B12">
        <w:trPr>
          <w:trHeight w:val="25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B74E4E9" w14:textId="77777777" w:rsidR="00EB6632" w:rsidRPr="005B4A52" w:rsidRDefault="00EB6632" w:rsidP="00EB6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5E7E903D" w14:textId="553B63AC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56.7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8706CF2" w14:textId="58986EC8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58.8</w:t>
            </w:r>
          </w:p>
        </w:tc>
      </w:tr>
      <w:tr w:rsidR="00EB6632" w:rsidRPr="005B4A52" w14:paraId="67961B5D" w14:textId="77777777" w:rsidTr="00274B12">
        <w:trPr>
          <w:trHeight w:val="25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9309FB8" w14:textId="77777777" w:rsidR="00EB6632" w:rsidRPr="005B4A52" w:rsidRDefault="00EB6632" w:rsidP="00EB6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496C2558" w14:textId="04089069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55.3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E17018" w14:textId="19B70B8A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59.5</w:t>
            </w:r>
          </w:p>
        </w:tc>
      </w:tr>
      <w:tr w:rsidR="00EB6632" w:rsidRPr="005B4A52" w14:paraId="1EDD4B06" w14:textId="77777777" w:rsidTr="00274B12">
        <w:trPr>
          <w:trHeight w:val="25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04A4A60A" w14:textId="77777777" w:rsidR="00EB6632" w:rsidRPr="005B4A52" w:rsidRDefault="00EB6632" w:rsidP="00EB6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5B4A5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Control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828CA6" w14:textId="76C2ACD6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39.2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5A8CEE" w14:textId="75F9D985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42</w:t>
            </w:r>
          </w:p>
        </w:tc>
      </w:tr>
      <w:tr w:rsidR="00EB6632" w:rsidRPr="005B4A52" w14:paraId="727FFBC3" w14:textId="77777777" w:rsidTr="00274B12">
        <w:trPr>
          <w:trHeight w:val="25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2A93E060" w14:textId="77777777" w:rsidR="00EB6632" w:rsidRPr="005B4A52" w:rsidRDefault="00EB6632" w:rsidP="00EB6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06138963" w14:textId="57E82A55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39.9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8A4B85" w14:textId="0621CD0F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43.4</w:t>
            </w:r>
          </w:p>
        </w:tc>
      </w:tr>
      <w:tr w:rsidR="00EB6632" w:rsidRPr="005B4A52" w14:paraId="43C8320C" w14:textId="77777777" w:rsidTr="00274B12">
        <w:trPr>
          <w:trHeight w:val="258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14:paraId="32EA6EDD" w14:textId="77777777" w:rsidR="00EB6632" w:rsidRPr="005B4A52" w:rsidRDefault="00EB6632" w:rsidP="00EB6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0" w:type="auto"/>
            <w:shd w:val="clear" w:color="auto" w:fill="auto"/>
            <w:noWrap/>
            <w:hideMark/>
          </w:tcPr>
          <w:p w14:paraId="66ABD40C" w14:textId="5CEC3D1B" w:rsidR="00EB6632" w:rsidRPr="00C161F1" w:rsidRDefault="00EB6632" w:rsidP="00EB6632">
            <w:pPr>
              <w:spacing w:after="0" w:line="240" w:lineRule="auto"/>
              <w:jc w:val="center"/>
            </w:pPr>
            <w:r w:rsidRPr="00324A0D">
              <w:t>40.6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F2C04D" w14:textId="54869F92" w:rsidR="00EB6632" w:rsidRDefault="00EB6632" w:rsidP="00EB6632">
            <w:pPr>
              <w:spacing w:after="0" w:line="240" w:lineRule="auto"/>
              <w:jc w:val="center"/>
            </w:pPr>
            <w:r w:rsidRPr="00324A0D">
              <w:t>44.1</w:t>
            </w:r>
          </w:p>
        </w:tc>
      </w:tr>
    </w:tbl>
    <w:p w14:paraId="7234DBA9" w14:textId="77777777" w:rsidR="005B4A52" w:rsidRDefault="005B4A52" w:rsidP="00DF75B9"/>
    <w:p w14:paraId="70DBD269" w14:textId="0AE0D116" w:rsidR="00320910" w:rsidRPr="005B4A52" w:rsidRDefault="005B4A52" w:rsidP="00DF75B9">
      <w:pPr>
        <w:rPr>
          <w:b/>
        </w:rPr>
      </w:pPr>
      <w:r w:rsidRPr="005B4A52">
        <w:rPr>
          <w:b/>
        </w:rPr>
        <w:t>Analysis</w:t>
      </w:r>
    </w:p>
    <w:p w14:paraId="3C23F544" w14:textId="77777777" w:rsidR="002E21DD" w:rsidRDefault="006321B2" w:rsidP="00DF75B9">
      <w:r>
        <w:t>You are expected to analyse the data using SPSS or equivalent free-to-download software, for instance JASP (</w:t>
      </w:r>
      <w:hyperlink r:id="rId6" w:history="1">
        <w:r w:rsidRPr="00433F8C">
          <w:rPr>
            <w:rStyle w:val="Hyperlink"/>
          </w:rPr>
          <w:t>https://jasp-stats.org/</w:t>
        </w:r>
      </w:hyperlink>
      <w:r>
        <w:t>) or jamovi (</w:t>
      </w:r>
      <w:hyperlink r:id="rId7" w:history="1">
        <w:r w:rsidRPr="00433F8C">
          <w:rPr>
            <w:rStyle w:val="Hyperlink"/>
          </w:rPr>
          <w:t>https://www.jamovi.org/</w:t>
        </w:r>
      </w:hyperlink>
      <w:r>
        <w:t xml:space="preserve">). First choose an appropriate statistical analysis technique and then arrange the data in the correct form to be analysed. </w:t>
      </w:r>
    </w:p>
    <w:p w14:paraId="33290D2A" w14:textId="0FF5675A" w:rsidR="00FA3680" w:rsidRPr="00FA3680" w:rsidRDefault="00FA3680" w:rsidP="00DF75B9">
      <w:pPr>
        <w:rPr>
          <w:b/>
          <w:bCs/>
        </w:rPr>
      </w:pPr>
      <w:r w:rsidRPr="00FA3680">
        <w:rPr>
          <w:b/>
          <w:bCs/>
        </w:rPr>
        <w:lastRenderedPageBreak/>
        <w:t>Report</w:t>
      </w:r>
    </w:p>
    <w:p w14:paraId="4A84F391" w14:textId="0532B928" w:rsidR="005B4A52" w:rsidRDefault="00FA3680" w:rsidP="00DF75B9">
      <w:r>
        <w:t>Y</w:t>
      </w:r>
      <w:r w:rsidR="006321B2">
        <w:t>our report</w:t>
      </w:r>
      <w:r w:rsidR="002E21DD">
        <w:t xml:space="preserve"> (maximally 1</w:t>
      </w:r>
      <w:r w:rsidR="008D537E">
        <w:t>5</w:t>
      </w:r>
      <w:r w:rsidR="002E21DD">
        <w:t>00 words excluding tables</w:t>
      </w:r>
      <w:r w:rsidR="003353C8">
        <w:t>, graphs, captions</w:t>
      </w:r>
      <w:r w:rsidR="002E21DD">
        <w:t xml:space="preserve"> and references)</w:t>
      </w:r>
      <w:r w:rsidR="006321B2">
        <w:t xml:space="preserve"> </w:t>
      </w:r>
      <w:r>
        <w:t xml:space="preserve">should contain the following five sections and is marked </w:t>
      </w:r>
      <w:r w:rsidR="00EF1E7D">
        <w:t>based on</w:t>
      </w:r>
      <w:r>
        <w:t xml:space="preserve"> how you addressed the </w:t>
      </w:r>
      <w:r w:rsidRPr="00FA3680">
        <w:rPr>
          <w:u w:val="single"/>
        </w:rPr>
        <w:t xml:space="preserve">three underlined </w:t>
      </w:r>
      <w:r w:rsidR="00EB2102">
        <w:rPr>
          <w:u w:val="single"/>
        </w:rPr>
        <w:t>elements</w:t>
      </w:r>
      <w:r w:rsidR="006321B2">
        <w:t xml:space="preserve"> (marks indicated between brackets):</w:t>
      </w:r>
    </w:p>
    <w:p w14:paraId="6D704991" w14:textId="1A7D36B7" w:rsidR="00A36BF5" w:rsidRDefault="00A36BF5" w:rsidP="00A36BF5">
      <w:pPr>
        <w:pStyle w:val="ListParagraph"/>
        <w:numPr>
          <w:ilvl w:val="0"/>
          <w:numId w:val="4"/>
        </w:numPr>
      </w:pPr>
      <w:r w:rsidRPr="00A36BF5">
        <w:rPr>
          <w:b/>
          <w:bCs/>
        </w:rPr>
        <w:t>Introduction</w:t>
      </w:r>
      <w:r>
        <w:br/>
        <w:t>Only two or three sentences simply to state the subject and the aim, no need to come up with references</w:t>
      </w:r>
      <w:r w:rsidR="00FA3680">
        <w:t xml:space="preserve"> </w:t>
      </w:r>
      <w:r w:rsidR="00FA3680">
        <w:rPr>
          <w:b/>
          <w:bCs/>
        </w:rPr>
        <w:t xml:space="preserve"> (no marks)</w:t>
      </w:r>
      <w:r>
        <w:t>.</w:t>
      </w:r>
    </w:p>
    <w:p w14:paraId="4A8D5C71" w14:textId="61ADA035" w:rsidR="00A36BF5" w:rsidRDefault="00A36BF5" w:rsidP="00A36BF5">
      <w:pPr>
        <w:pStyle w:val="ListParagraph"/>
        <w:numPr>
          <w:ilvl w:val="0"/>
          <w:numId w:val="4"/>
        </w:numPr>
      </w:pPr>
      <w:r>
        <w:rPr>
          <w:b/>
          <w:bCs/>
        </w:rPr>
        <w:t>Methods</w:t>
      </w:r>
      <w:r>
        <w:rPr>
          <w:b/>
          <w:bCs/>
        </w:rPr>
        <w:br/>
      </w:r>
      <w:r>
        <w:t>A very brief description of the experimental procedure (no more information than given above, i.e. two or three sentences</w:t>
      </w:r>
      <w:r w:rsidR="00FA3680">
        <w:t xml:space="preserve">; </w:t>
      </w:r>
      <w:r w:rsidR="00FA3680" w:rsidRPr="00FA3680">
        <w:rPr>
          <w:b/>
          <w:bCs/>
        </w:rPr>
        <w:t>no marks</w:t>
      </w:r>
      <w:r>
        <w:t>)</w:t>
      </w:r>
      <w:r w:rsidR="00FA3680">
        <w:t>, followed by:</w:t>
      </w:r>
      <w:r>
        <w:br/>
      </w:r>
      <w:r w:rsidRPr="00A36BF5">
        <w:rPr>
          <w:u w:val="single"/>
        </w:rPr>
        <w:t xml:space="preserve">A clear and concise description of the chosen statistical analysis technique </w:t>
      </w:r>
      <w:r w:rsidRPr="00A36BF5">
        <w:rPr>
          <w:b/>
          <w:bCs/>
        </w:rPr>
        <w:t>(20 marks)</w:t>
      </w:r>
      <w:r w:rsidRPr="00A36BF5">
        <w:t>.</w:t>
      </w:r>
    </w:p>
    <w:p w14:paraId="4A257F18" w14:textId="22FA9076" w:rsidR="00A36BF5" w:rsidRDefault="00A36BF5" w:rsidP="00A36BF5">
      <w:pPr>
        <w:pStyle w:val="ListParagraph"/>
        <w:numPr>
          <w:ilvl w:val="0"/>
          <w:numId w:val="4"/>
        </w:numPr>
      </w:pPr>
      <w:r>
        <w:rPr>
          <w:b/>
          <w:bCs/>
        </w:rPr>
        <w:t>Results</w:t>
      </w:r>
      <w:r>
        <w:rPr>
          <w:b/>
          <w:bCs/>
        </w:rPr>
        <w:br/>
      </w:r>
      <w:r w:rsidRPr="00A36BF5">
        <w:rPr>
          <w:u w:val="single"/>
        </w:rPr>
        <w:t xml:space="preserve">A check of the validity of the chosen analysis method (eg if using a parametric test what must be checked to confirm validity) and a clear and concise description of the results, including appropriate graph(s) and table(s) </w:t>
      </w:r>
      <w:r w:rsidRPr="00A36BF5">
        <w:t>(</w:t>
      </w:r>
      <w:r w:rsidRPr="00A36BF5">
        <w:rPr>
          <w:b/>
          <w:bCs/>
        </w:rPr>
        <w:t>40 marks</w:t>
      </w:r>
      <w:r w:rsidRPr="00A36BF5">
        <w:t>).</w:t>
      </w:r>
    </w:p>
    <w:p w14:paraId="35F920FB" w14:textId="70F6C4CF" w:rsidR="00A36BF5" w:rsidRDefault="00A36BF5" w:rsidP="00A36BF5">
      <w:pPr>
        <w:pStyle w:val="ListParagraph"/>
        <w:numPr>
          <w:ilvl w:val="0"/>
          <w:numId w:val="4"/>
        </w:numPr>
      </w:pPr>
      <w:r>
        <w:rPr>
          <w:b/>
          <w:bCs/>
        </w:rPr>
        <w:t>Discussion</w:t>
      </w:r>
      <w:r>
        <w:br/>
      </w:r>
      <w:r w:rsidR="004515E2" w:rsidRPr="004515E2">
        <w:rPr>
          <w:u w:val="single"/>
        </w:rPr>
        <w:t>A reasoned discussion for choosing the appropriate statistical analysis/analyses indicating the advantages and disadvantages of that/those particular technique/s including its/their validity</w:t>
      </w:r>
      <w:r w:rsidR="004515E2" w:rsidRPr="004515E2">
        <w:t xml:space="preserve"> (</w:t>
      </w:r>
      <w:r w:rsidR="004515E2" w:rsidRPr="004515E2">
        <w:rPr>
          <w:b/>
          <w:bCs/>
        </w:rPr>
        <w:t>40 marks</w:t>
      </w:r>
      <w:r w:rsidR="004515E2" w:rsidRPr="004515E2">
        <w:t>)</w:t>
      </w:r>
    </w:p>
    <w:p w14:paraId="03903D50" w14:textId="5179D6F3" w:rsidR="00A36BF5" w:rsidRDefault="00FA3680" w:rsidP="00A36BF5">
      <w:pPr>
        <w:pStyle w:val="ListParagraph"/>
        <w:numPr>
          <w:ilvl w:val="0"/>
          <w:numId w:val="4"/>
        </w:numPr>
      </w:pPr>
      <w:r>
        <w:rPr>
          <w:b/>
          <w:bCs/>
        </w:rPr>
        <w:t>References</w:t>
      </w:r>
      <w:r>
        <w:br/>
        <w:t>You might want to add references that support your choice of statistical analysis or help when indicating their advantages and disadvantages.</w:t>
      </w:r>
    </w:p>
    <w:p w14:paraId="4A37FA06" w14:textId="607F9889" w:rsidR="00B12B4B" w:rsidRDefault="00B12B4B" w:rsidP="00B12B4B">
      <w:pPr>
        <w:pStyle w:val="ListParagraph"/>
        <w:rPr>
          <w:b/>
          <w:bCs/>
        </w:rPr>
      </w:pPr>
    </w:p>
    <w:p w14:paraId="1A0BB03D" w14:textId="11CA2D10" w:rsidR="00B12B4B" w:rsidRDefault="00B12B4B" w:rsidP="00B12B4B">
      <w:r>
        <w:t>Remember, the submission deadline is 29 April at 14:00.</w:t>
      </w:r>
    </w:p>
    <w:sectPr w:rsidR="00B12B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AF445B"/>
    <w:multiLevelType w:val="hybridMultilevel"/>
    <w:tmpl w:val="34A295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B656A"/>
    <w:multiLevelType w:val="hybridMultilevel"/>
    <w:tmpl w:val="ADA4DE38"/>
    <w:lvl w:ilvl="0" w:tplc="C75EF37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D21335"/>
    <w:multiLevelType w:val="hybridMultilevel"/>
    <w:tmpl w:val="216EEB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A692D"/>
    <w:multiLevelType w:val="hybridMultilevel"/>
    <w:tmpl w:val="78582F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5788"/>
    <w:rsid w:val="00120179"/>
    <w:rsid w:val="00175CEA"/>
    <w:rsid w:val="00181F79"/>
    <w:rsid w:val="001A50AF"/>
    <w:rsid w:val="001F3739"/>
    <w:rsid w:val="00202165"/>
    <w:rsid w:val="00210E12"/>
    <w:rsid w:val="002E21DD"/>
    <w:rsid w:val="00320910"/>
    <w:rsid w:val="003251CF"/>
    <w:rsid w:val="003353C8"/>
    <w:rsid w:val="00341635"/>
    <w:rsid w:val="003C3FFF"/>
    <w:rsid w:val="003F182B"/>
    <w:rsid w:val="003F2B9F"/>
    <w:rsid w:val="00430BE1"/>
    <w:rsid w:val="004515E2"/>
    <w:rsid w:val="004A031C"/>
    <w:rsid w:val="005362C4"/>
    <w:rsid w:val="005B2962"/>
    <w:rsid w:val="005B4A52"/>
    <w:rsid w:val="005C5788"/>
    <w:rsid w:val="00617336"/>
    <w:rsid w:val="006321B2"/>
    <w:rsid w:val="0067449A"/>
    <w:rsid w:val="006A3721"/>
    <w:rsid w:val="007145CF"/>
    <w:rsid w:val="00832E39"/>
    <w:rsid w:val="00851068"/>
    <w:rsid w:val="00895650"/>
    <w:rsid w:val="008A2531"/>
    <w:rsid w:val="008D537E"/>
    <w:rsid w:val="009B2C5D"/>
    <w:rsid w:val="009C4E2C"/>
    <w:rsid w:val="00A1427C"/>
    <w:rsid w:val="00A36BF5"/>
    <w:rsid w:val="00AA6366"/>
    <w:rsid w:val="00B12B4B"/>
    <w:rsid w:val="00B57806"/>
    <w:rsid w:val="00B62DBD"/>
    <w:rsid w:val="00C01688"/>
    <w:rsid w:val="00C27C78"/>
    <w:rsid w:val="00CB7113"/>
    <w:rsid w:val="00CD677D"/>
    <w:rsid w:val="00CF04A6"/>
    <w:rsid w:val="00D41396"/>
    <w:rsid w:val="00DF75B9"/>
    <w:rsid w:val="00E164E8"/>
    <w:rsid w:val="00E61840"/>
    <w:rsid w:val="00E93293"/>
    <w:rsid w:val="00E95FF7"/>
    <w:rsid w:val="00EB2102"/>
    <w:rsid w:val="00EB6632"/>
    <w:rsid w:val="00EF1E7D"/>
    <w:rsid w:val="00F62F0B"/>
    <w:rsid w:val="00FA3680"/>
    <w:rsid w:val="00FE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816A1"/>
  <w15:docId w15:val="{EA284185-E96E-46D1-AF69-A1C8029CD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06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21B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4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9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jamovi.org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jasp-stats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8B624-9280-4290-BDCE-5F1FEA0D5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Keele University</Company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Herman Kuiper</dc:creator>
  <cp:lastModifiedBy>Jan Herman Kuiper</cp:lastModifiedBy>
  <cp:revision>5</cp:revision>
  <dcterms:created xsi:type="dcterms:W3CDTF">2021-03-11T09:59:00Z</dcterms:created>
  <dcterms:modified xsi:type="dcterms:W3CDTF">2021-04-19T13:19:00Z</dcterms:modified>
</cp:coreProperties>
</file>