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2073D0" w14:textId="77777777" w:rsidR="004A3F35" w:rsidRDefault="004A3F35" w:rsidP="00CF5427">
      <w:pPr>
        <w:jc w:val="center"/>
        <w:rPr>
          <w:b/>
        </w:rPr>
      </w:pPr>
    </w:p>
    <w:p w14:paraId="5607D7DD" w14:textId="77777777" w:rsidR="004A3F35" w:rsidRDefault="004A3F35" w:rsidP="004A3F35">
      <w:pPr>
        <w:rPr>
          <w:b/>
        </w:rPr>
      </w:pPr>
      <w:r>
        <w:rPr>
          <w:b/>
        </w:rPr>
        <w:t>Read the following passage from a research article. Then answer questions 1-3.</w:t>
      </w:r>
    </w:p>
    <w:p w14:paraId="05F1294F" w14:textId="77777777" w:rsidR="004A3F35" w:rsidRDefault="004A3F35" w:rsidP="004A3F35">
      <w:pPr>
        <w:rPr>
          <w:b/>
        </w:rPr>
      </w:pPr>
    </w:p>
    <w:p w14:paraId="0FCA5E05" w14:textId="77777777" w:rsidR="009265F2" w:rsidRPr="00FA2368" w:rsidRDefault="009265F2" w:rsidP="00FA2368">
      <w:pPr>
        <w:spacing w:after="0" w:line="240" w:lineRule="auto"/>
        <w:jc w:val="center"/>
        <w:rPr>
          <w:rFonts w:cstheme="minorHAnsi"/>
          <w:b/>
          <w:sz w:val="20"/>
        </w:rPr>
      </w:pPr>
    </w:p>
    <w:p w14:paraId="6185A0A2" w14:textId="77777777" w:rsidR="004A3F35" w:rsidRPr="004A3F35" w:rsidRDefault="004A3F35" w:rsidP="004A3F35">
      <w:pPr>
        <w:pBdr>
          <w:top w:val="nil"/>
          <w:left w:val="nil"/>
          <w:bottom w:val="nil"/>
          <w:right w:val="nil"/>
          <w:between w:val="nil"/>
        </w:pBdr>
        <w:spacing w:after="0" w:line="480" w:lineRule="auto"/>
        <w:rPr>
          <w:rFonts w:ascii="Times New Roman" w:eastAsia="Times New Roman" w:hAnsi="Times New Roman" w:cs="Times New Roman"/>
          <w:b/>
          <w:color w:val="000000"/>
          <w:sz w:val="24"/>
          <w:szCs w:val="24"/>
          <w:lang w:val="en"/>
        </w:rPr>
      </w:pPr>
      <w:r w:rsidRPr="004A3F35">
        <w:rPr>
          <w:rFonts w:ascii="Times New Roman" w:eastAsia="Times New Roman" w:hAnsi="Times New Roman" w:cs="Times New Roman"/>
          <w:b/>
          <w:color w:val="000000"/>
          <w:sz w:val="24"/>
          <w:szCs w:val="24"/>
          <w:lang w:val="en"/>
        </w:rPr>
        <w:t>Hypotheses and Research Methods</w:t>
      </w:r>
    </w:p>
    <w:p w14:paraId="5E70573E" w14:textId="77777777" w:rsidR="00331B2B" w:rsidRPr="004A3F35" w:rsidRDefault="00210617" w:rsidP="00331B2B">
      <w:pPr>
        <w:pBdr>
          <w:top w:val="nil"/>
          <w:left w:val="nil"/>
          <w:bottom w:val="nil"/>
          <w:right w:val="nil"/>
          <w:between w:val="nil"/>
        </w:pBdr>
        <w:spacing w:after="0" w:line="480" w:lineRule="auto"/>
        <w:ind w:firstLine="720"/>
        <w:rPr>
          <w:rFonts w:ascii="Times New Roman" w:eastAsia="Times New Roman" w:hAnsi="Times New Roman" w:cs="Times New Roman"/>
          <w:color w:val="000000"/>
          <w:sz w:val="24"/>
          <w:szCs w:val="24"/>
          <w:lang w:val="en"/>
        </w:rPr>
      </w:pPr>
      <w:r w:rsidRPr="004A3F35">
        <w:rPr>
          <w:rFonts w:ascii="Times New Roman" w:eastAsia="Times New Roman" w:hAnsi="Times New Roman" w:cs="Times New Roman"/>
          <w:color w:val="000000"/>
          <w:sz w:val="24"/>
          <w:szCs w:val="24"/>
          <w:lang w:val="en"/>
        </w:rPr>
        <w:t xml:space="preserve">Given the documented </w:t>
      </w:r>
      <w:r w:rsidR="00FA2368" w:rsidRPr="004A3F35">
        <w:rPr>
          <w:rFonts w:ascii="Times New Roman" w:eastAsia="Times New Roman" w:hAnsi="Times New Roman" w:cs="Times New Roman"/>
          <w:color w:val="000000"/>
          <w:sz w:val="24"/>
          <w:szCs w:val="24"/>
          <w:lang w:val="en"/>
        </w:rPr>
        <w:t>relationship between educati</w:t>
      </w:r>
      <w:r w:rsidRPr="004A3F35">
        <w:rPr>
          <w:rFonts w:ascii="Times New Roman" w:eastAsia="Times New Roman" w:hAnsi="Times New Roman" w:cs="Times New Roman"/>
          <w:color w:val="000000"/>
          <w:sz w:val="24"/>
          <w:szCs w:val="24"/>
          <w:lang w:val="en"/>
        </w:rPr>
        <w:t xml:space="preserve">on and cognition as well as </w:t>
      </w:r>
      <w:r w:rsidR="00FA2368" w:rsidRPr="004A3F35">
        <w:rPr>
          <w:rFonts w:ascii="Times New Roman" w:eastAsia="Times New Roman" w:hAnsi="Times New Roman" w:cs="Times New Roman"/>
          <w:color w:val="000000"/>
          <w:sz w:val="24"/>
          <w:szCs w:val="24"/>
          <w:lang w:val="en"/>
        </w:rPr>
        <w:t>evidence for racial/ethnic disparities in cognitive impairment, a group of researchers aim</w:t>
      </w:r>
      <w:r w:rsidRPr="004A3F35">
        <w:rPr>
          <w:rFonts w:ascii="Times New Roman" w:eastAsia="Times New Roman" w:hAnsi="Times New Roman" w:cs="Times New Roman"/>
          <w:color w:val="000000"/>
          <w:sz w:val="24"/>
          <w:szCs w:val="24"/>
          <w:lang w:val="en"/>
        </w:rPr>
        <w:t>s</w:t>
      </w:r>
      <w:r w:rsidR="00FA2368" w:rsidRPr="004A3F35">
        <w:rPr>
          <w:rFonts w:ascii="Times New Roman" w:eastAsia="Times New Roman" w:hAnsi="Times New Roman" w:cs="Times New Roman"/>
          <w:color w:val="000000"/>
          <w:sz w:val="24"/>
          <w:szCs w:val="24"/>
          <w:lang w:val="en"/>
        </w:rPr>
        <w:t xml:space="preserve"> to investigate if differences in education drive </w:t>
      </w:r>
      <w:r w:rsidRPr="004A3F35">
        <w:rPr>
          <w:rFonts w:ascii="Times New Roman" w:eastAsia="Times New Roman" w:hAnsi="Times New Roman" w:cs="Times New Roman"/>
          <w:color w:val="000000"/>
          <w:sz w:val="24"/>
          <w:szCs w:val="24"/>
          <w:lang w:val="en"/>
        </w:rPr>
        <w:t xml:space="preserve">racial/ethnic </w:t>
      </w:r>
      <w:r w:rsidR="00FA2368" w:rsidRPr="004A3F35">
        <w:rPr>
          <w:rFonts w:ascii="Times New Roman" w:eastAsia="Times New Roman" w:hAnsi="Times New Roman" w:cs="Times New Roman"/>
          <w:color w:val="000000"/>
          <w:sz w:val="24"/>
          <w:szCs w:val="24"/>
          <w:lang w:val="en"/>
        </w:rPr>
        <w:t>disparities in cognitive aging. First, they propose to test the relationship between cognitive impairment and education. Then, they will test the relationship between cognitive impairment and race/ethnicity. Moreover, they are interested in testing if the relationship between education and cognitive impairment is moderated by race/ethnicity. The researchers formulate the following hypotheses:</w:t>
      </w:r>
    </w:p>
    <w:p w14:paraId="16CFD10C" w14:textId="77777777" w:rsidR="00210617" w:rsidRPr="004A3F35" w:rsidRDefault="00FA2368" w:rsidP="00331B2B">
      <w:pPr>
        <w:pBdr>
          <w:top w:val="nil"/>
          <w:left w:val="nil"/>
          <w:bottom w:val="nil"/>
          <w:right w:val="nil"/>
          <w:between w:val="nil"/>
        </w:pBdr>
        <w:spacing w:after="0" w:line="480" w:lineRule="auto"/>
        <w:ind w:left="432" w:right="432"/>
        <w:rPr>
          <w:rFonts w:ascii="Times New Roman" w:eastAsia="Times New Roman" w:hAnsi="Times New Roman" w:cs="Times New Roman"/>
          <w:color w:val="000000"/>
          <w:sz w:val="24"/>
          <w:szCs w:val="24"/>
          <w:lang w:val="en"/>
        </w:rPr>
      </w:pPr>
      <w:r w:rsidRPr="004A3F35">
        <w:rPr>
          <w:rFonts w:ascii="Times New Roman" w:eastAsia="Times New Roman" w:hAnsi="Times New Roman" w:cs="Times New Roman"/>
          <w:color w:val="000000"/>
          <w:sz w:val="24"/>
          <w:szCs w:val="24"/>
          <w:lang w:val="en"/>
        </w:rPr>
        <w:t>H1: Relative to non</w:t>
      </w:r>
      <w:r w:rsidR="003B3C4D">
        <w:rPr>
          <w:rFonts w:ascii="Times New Roman" w:eastAsia="Times New Roman" w:hAnsi="Times New Roman" w:cs="Times New Roman"/>
          <w:color w:val="000000"/>
          <w:sz w:val="24"/>
          <w:szCs w:val="24"/>
          <w:lang w:val="en"/>
        </w:rPr>
        <w:t>-Hispanic whites, non-Hispanic B</w:t>
      </w:r>
      <w:r w:rsidRPr="004A3F35">
        <w:rPr>
          <w:rFonts w:ascii="Times New Roman" w:eastAsia="Times New Roman" w:hAnsi="Times New Roman" w:cs="Times New Roman"/>
          <w:color w:val="000000"/>
          <w:sz w:val="24"/>
          <w:szCs w:val="24"/>
          <w:lang w:val="en"/>
        </w:rPr>
        <w:t>lacks and Mexican Americans are at greater risk of cognitive impairment.</w:t>
      </w:r>
    </w:p>
    <w:p w14:paraId="3D9385F0" w14:textId="77777777" w:rsidR="00FA2368" w:rsidRPr="004A3F35" w:rsidRDefault="00210617" w:rsidP="00331B2B">
      <w:pPr>
        <w:pBdr>
          <w:top w:val="nil"/>
          <w:left w:val="nil"/>
          <w:bottom w:val="nil"/>
          <w:right w:val="nil"/>
          <w:between w:val="nil"/>
        </w:pBdr>
        <w:spacing w:after="0" w:line="480" w:lineRule="auto"/>
        <w:ind w:left="432" w:right="432"/>
        <w:rPr>
          <w:rFonts w:ascii="Times New Roman" w:eastAsia="Times New Roman" w:hAnsi="Times New Roman" w:cs="Times New Roman"/>
          <w:color w:val="000000"/>
          <w:sz w:val="24"/>
          <w:szCs w:val="24"/>
          <w:lang w:val="en"/>
        </w:rPr>
      </w:pPr>
      <w:r w:rsidRPr="004A3F35">
        <w:rPr>
          <w:rFonts w:ascii="Times New Roman" w:eastAsia="Times New Roman" w:hAnsi="Times New Roman" w:cs="Times New Roman"/>
          <w:color w:val="000000"/>
          <w:sz w:val="24"/>
          <w:szCs w:val="24"/>
          <w:lang w:val="en"/>
        </w:rPr>
        <w:t>H2: Increasing years of education is associated with a reduced risk for cognitive impairment for all older adults.</w:t>
      </w:r>
    </w:p>
    <w:p w14:paraId="5F861417" w14:textId="77777777" w:rsidR="00331B2B" w:rsidRPr="004A3F35" w:rsidRDefault="00210617" w:rsidP="00331B2B">
      <w:pPr>
        <w:pBdr>
          <w:top w:val="nil"/>
          <w:left w:val="nil"/>
          <w:bottom w:val="nil"/>
          <w:right w:val="nil"/>
          <w:between w:val="nil"/>
        </w:pBdr>
        <w:spacing w:after="0" w:line="480" w:lineRule="auto"/>
        <w:ind w:left="432" w:right="432"/>
        <w:rPr>
          <w:rFonts w:ascii="Times New Roman" w:eastAsia="Times New Roman" w:hAnsi="Times New Roman" w:cs="Times New Roman"/>
          <w:color w:val="000000"/>
          <w:sz w:val="24"/>
          <w:szCs w:val="24"/>
          <w:lang w:val="en"/>
        </w:rPr>
      </w:pPr>
      <w:r w:rsidRPr="004A3F35">
        <w:rPr>
          <w:rFonts w:ascii="Times New Roman" w:eastAsia="Times New Roman" w:hAnsi="Times New Roman" w:cs="Times New Roman"/>
          <w:color w:val="000000"/>
          <w:sz w:val="24"/>
          <w:szCs w:val="24"/>
          <w:lang w:val="en"/>
        </w:rPr>
        <w:t>H3</w:t>
      </w:r>
      <w:r w:rsidR="00FA2368" w:rsidRPr="004A3F35">
        <w:rPr>
          <w:rFonts w:ascii="Times New Roman" w:eastAsia="Times New Roman" w:hAnsi="Times New Roman" w:cs="Times New Roman"/>
          <w:color w:val="000000"/>
          <w:sz w:val="24"/>
          <w:szCs w:val="24"/>
          <w:lang w:val="en"/>
        </w:rPr>
        <w:t xml:space="preserve">: The effect of </w:t>
      </w:r>
      <w:r w:rsidRPr="004A3F35">
        <w:rPr>
          <w:rFonts w:ascii="Times New Roman" w:eastAsia="Times New Roman" w:hAnsi="Times New Roman" w:cs="Times New Roman"/>
          <w:color w:val="000000"/>
          <w:sz w:val="24"/>
          <w:szCs w:val="24"/>
          <w:lang w:val="en"/>
        </w:rPr>
        <w:t>increasing years</w:t>
      </w:r>
      <w:r w:rsidR="00FA2368" w:rsidRPr="004A3F35">
        <w:rPr>
          <w:rFonts w:ascii="Times New Roman" w:eastAsia="Times New Roman" w:hAnsi="Times New Roman" w:cs="Times New Roman"/>
          <w:color w:val="000000"/>
          <w:sz w:val="24"/>
          <w:szCs w:val="24"/>
          <w:lang w:val="en"/>
        </w:rPr>
        <w:t xml:space="preserve"> of education on </w:t>
      </w:r>
      <w:r w:rsidRPr="004A3F35">
        <w:rPr>
          <w:rFonts w:ascii="Times New Roman" w:eastAsia="Times New Roman" w:hAnsi="Times New Roman" w:cs="Times New Roman"/>
          <w:color w:val="000000"/>
          <w:sz w:val="24"/>
          <w:szCs w:val="24"/>
          <w:lang w:val="en"/>
        </w:rPr>
        <w:t xml:space="preserve">reduced risk for </w:t>
      </w:r>
      <w:r w:rsidR="00FA2368" w:rsidRPr="004A3F35">
        <w:rPr>
          <w:rFonts w:ascii="Times New Roman" w:eastAsia="Times New Roman" w:hAnsi="Times New Roman" w:cs="Times New Roman"/>
          <w:color w:val="000000"/>
          <w:sz w:val="24"/>
          <w:szCs w:val="24"/>
          <w:lang w:val="en"/>
        </w:rPr>
        <w:t>cogn</w:t>
      </w:r>
      <w:r w:rsidR="003B3C4D">
        <w:rPr>
          <w:rFonts w:ascii="Times New Roman" w:eastAsia="Times New Roman" w:hAnsi="Times New Roman" w:cs="Times New Roman"/>
          <w:color w:val="000000"/>
          <w:sz w:val="24"/>
          <w:szCs w:val="24"/>
          <w:lang w:val="en"/>
        </w:rPr>
        <w:t>itive impairment is weaker for B</w:t>
      </w:r>
      <w:r w:rsidR="00FA2368" w:rsidRPr="004A3F35">
        <w:rPr>
          <w:rFonts w:ascii="Times New Roman" w:eastAsia="Times New Roman" w:hAnsi="Times New Roman" w:cs="Times New Roman"/>
          <w:color w:val="000000"/>
          <w:sz w:val="24"/>
          <w:szCs w:val="24"/>
          <w:lang w:val="en"/>
        </w:rPr>
        <w:t xml:space="preserve">lacks and Mexican Americans than it is for their white peers, particularly at higher levels of education. </w:t>
      </w:r>
    </w:p>
    <w:p w14:paraId="35BD9045" w14:textId="77777777" w:rsidR="009265F2" w:rsidRPr="004A3F35" w:rsidRDefault="00210617" w:rsidP="004A3F35">
      <w:pPr>
        <w:spacing w:after="0" w:line="480" w:lineRule="auto"/>
        <w:ind w:firstLine="720"/>
        <w:rPr>
          <w:rFonts w:ascii="Times New Roman" w:hAnsi="Times New Roman" w:cs="Times New Roman"/>
          <w:sz w:val="24"/>
          <w:lang w:val="en"/>
        </w:rPr>
      </w:pPr>
      <w:r w:rsidRPr="004A3F35">
        <w:rPr>
          <w:rFonts w:ascii="Times New Roman" w:hAnsi="Times New Roman" w:cs="Times New Roman"/>
          <w:sz w:val="24"/>
          <w:lang w:val="en"/>
        </w:rPr>
        <w:t>Data analyzed for this study were drawn from the 2012 wave of the nationally representative Health and Retirement Study (HRS). The analytic sample consists of respondents who were age 65 and above in 2012 (N= 8,903). Measures include</w:t>
      </w:r>
      <w:r w:rsidR="003B3C4D">
        <w:rPr>
          <w:rFonts w:ascii="Times New Roman" w:hAnsi="Times New Roman" w:cs="Times New Roman"/>
          <w:sz w:val="24"/>
          <w:lang w:val="en"/>
        </w:rPr>
        <w:t>d in analyses are the following.</w:t>
      </w:r>
    </w:p>
    <w:p w14:paraId="44547FB5" w14:textId="77777777" w:rsidR="00210617" w:rsidRPr="004A3F35" w:rsidRDefault="004A3F35" w:rsidP="004A3F35">
      <w:pPr>
        <w:spacing w:after="0" w:line="480" w:lineRule="auto"/>
        <w:rPr>
          <w:rFonts w:ascii="Times New Roman" w:hAnsi="Times New Roman" w:cs="Times New Roman"/>
          <w:b/>
          <w:sz w:val="24"/>
          <w:lang w:val="en"/>
        </w:rPr>
      </w:pPr>
      <w:r w:rsidRPr="004A3F35">
        <w:rPr>
          <w:rFonts w:ascii="Times New Roman" w:hAnsi="Times New Roman" w:cs="Times New Roman"/>
          <w:b/>
          <w:i/>
          <w:sz w:val="24"/>
          <w:lang w:val="en"/>
        </w:rPr>
        <w:t>Dependent Variable</w:t>
      </w:r>
    </w:p>
    <w:p w14:paraId="78B41805" w14:textId="77777777" w:rsidR="004A3F35" w:rsidRDefault="00210617" w:rsidP="004A3F35">
      <w:pPr>
        <w:spacing w:after="0" w:line="480" w:lineRule="auto"/>
        <w:ind w:firstLine="720"/>
        <w:rPr>
          <w:rFonts w:ascii="Times New Roman" w:hAnsi="Times New Roman" w:cs="Times New Roman"/>
          <w:sz w:val="24"/>
          <w:lang w:val="en"/>
        </w:rPr>
      </w:pPr>
      <w:r w:rsidRPr="004A3F35">
        <w:rPr>
          <w:rFonts w:ascii="Times New Roman" w:hAnsi="Times New Roman" w:cs="Times New Roman"/>
          <w:sz w:val="24"/>
          <w:lang w:val="en"/>
        </w:rPr>
        <w:lastRenderedPageBreak/>
        <w:t>To cons</w:t>
      </w:r>
      <w:r w:rsidR="004A3F35">
        <w:rPr>
          <w:rFonts w:ascii="Times New Roman" w:hAnsi="Times New Roman" w:cs="Times New Roman"/>
          <w:sz w:val="24"/>
          <w:lang w:val="en"/>
        </w:rPr>
        <w:t xml:space="preserve">truct the </w:t>
      </w:r>
      <w:r w:rsidRPr="004A3F35">
        <w:rPr>
          <w:rFonts w:ascii="Times New Roman" w:hAnsi="Times New Roman" w:cs="Times New Roman"/>
          <w:sz w:val="24"/>
          <w:lang w:val="en"/>
        </w:rPr>
        <w:t>variable</w:t>
      </w:r>
      <w:r w:rsidR="004A3F35">
        <w:rPr>
          <w:rFonts w:ascii="Times New Roman" w:hAnsi="Times New Roman" w:cs="Times New Roman"/>
          <w:sz w:val="24"/>
          <w:lang w:val="en"/>
        </w:rPr>
        <w:t xml:space="preserve"> for </w:t>
      </w:r>
      <w:r w:rsidR="004A3F35" w:rsidRPr="004A3F35">
        <w:rPr>
          <w:rFonts w:ascii="Times New Roman" w:hAnsi="Times New Roman" w:cs="Times New Roman"/>
          <w:i/>
          <w:sz w:val="24"/>
          <w:lang w:val="en"/>
        </w:rPr>
        <w:t>cognitive impairment</w:t>
      </w:r>
      <w:r w:rsidRPr="004A3F35">
        <w:rPr>
          <w:rFonts w:ascii="Times New Roman" w:hAnsi="Times New Roman" w:cs="Times New Roman"/>
          <w:sz w:val="24"/>
          <w:lang w:val="en"/>
        </w:rPr>
        <w:t>, researchers relied on the modified Telephone Interview for Cognitive Status (TICS) which contains several tasks including object naming, serial subtraction, and both immediate and delayed word recall. The scores from the modified TICS range from 0 to 35, with higher scores denoting better cognitive functioning. In accordance with previous research, a cutoff of 9 was used, with those at or below 9 being characterized as cognitively impaired, while those above 9 were characterized as unimpaired. Therefore, the final variable was dichotomized to reflect those who are afflicted with impairment (1) and those who are unimpaired (0).</w:t>
      </w:r>
    </w:p>
    <w:p w14:paraId="300A6CC8" w14:textId="77777777" w:rsidR="00210617" w:rsidRPr="004A3F35" w:rsidRDefault="004A3F35" w:rsidP="004A3F35">
      <w:pPr>
        <w:spacing w:after="0" w:line="480" w:lineRule="auto"/>
        <w:rPr>
          <w:rFonts w:ascii="Times New Roman" w:hAnsi="Times New Roman" w:cs="Times New Roman"/>
          <w:b/>
          <w:sz w:val="24"/>
          <w:lang w:val="en"/>
        </w:rPr>
      </w:pPr>
      <w:r w:rsidRPr="004A3F35">
        <w:rPr>
          <w:rFonts w:ascii="Times New Roman" w:hAnsi="Times New Roman" w:cs="Times New Roman"/>
          <w:b/>
          <w:i/>
          <w:sz w:val="24"/>
          <w:lang w:val="en"/>
        </w:rPr>
        <w:t>Main Independent Variables</w:t>
      </w:r>
    </w:p>
    <w:p w14:paraId="1AFBFCF7" w14:textId="77777777" w:rsidR="00210617" w:rsidRPr="004A3F35" w:rsidRDefault="00210617" w:rsidP="004A3F35">
      <w:pPr>
        <w:spacing w:after="0" w:line="480" w:lineRule="auto"/>
        <w:ind w:firstLine="720"/>
        <w:rPr>
          <w:rFonts w:ascii="Times New Roman" w:hAnsi="Times New Roman" w:cs="Times New Roman"/>
          <w:sz w:val="24"/>
          <w:lang w:val="en"/>
        </w:rPr>
      </w:pPr>
      <w:r w:rsidRPr="004A3F35">
        <w:rPr>
          <w:rFonts w:ascii="Times New Roman" w:hAnsi="Times New Roman" w:cs="Times New Roman"/>
          <w:sz w:val="24"/>
          <w:lang w:val="en"/>
        </w:rPr>
        <w:t xml:space="preserve">Participants self-reported their completed </w:t>
      </w:r>
      <w:r w:rsidRPr="004A3F35">
        <w:rPr>
          <w:rFonts w:ascii="Times New Roman" w:hAnsi="Times New Roman" w:cs="Times New Roman"/>
          <w:i/>
          <w:sz w:val="24"/>
          <w:lang w:val="en"/>
        </w:rPr>
        <w:t xml:space="preserve">years of education </w:t>
      </w:r>
      <w:r w:rsidRPr="004A3F35">
        <w:rPr>
          <w:rFonts w:ascii="Times New Roman" w:hAnsi="Times New Roman" w:cs="Times New Roman"/>
          <w:sz w:val="24"/>
          <w:lang w:val="en"/>
        </w:rPr>
        <w:t xml:space="preserve">(ranging from 0-17). This variable treated as a continuous measure denoting the respondent’s educational attainment. </w:t>
      </w:r>
    </w:p>
    <w:p w14:paraId="50244E12" w14:textId="77777777" w:rsidR="00210617" w:rsidRPr="004A3F35" w:rsidRDefault="00210617" w:rsidP="004A3F35">
      <w:pPr>
        <w:spacing w:after="0" w:line="480" w:lineRule="auto"/>
        <w:ind w:firstLine="720"/>
        <w:rPr>
          <w:rFonts w:ascii="Times New Roman" w:hAnsi="Times New Roman" w:cs="Times New Roman"/>
          <w:sz w:val="24"/>
          <w:lang w:val="en"/>
        </w:rPr>
      </w:pPr>
      <w:r w:rsidRPr="004A3F35">
        <w:rPr>
          <w:rFonts w:ascii="Times New Roman" w:hAnsi="Times New Roman" w:cs="Times New Roman"/>
          <w:i/>
          <w:sz w:val="24"/>
          <w:lang w:val="en"/>
        </w:rPr>
        <w:t xml:space="preserve">Race </w:t>
      </w:r>
      <w:r w:rsidRPr="004A3F35">
        <w:rPr>
          <w:rFonts w:ascii="Times New Roman" w:hAnsi="Times New Roman" w:cs="Times New Roman"/>
          <w:sz w:val="24"/>
          <w:lang w:val="en"/>
        </w:rPr>
        <w:t>is a binary varia</w:t>
      </w:r>
      <w:r w:rsidR="003B3C4D">
        <w:rPr>
          <w:rFonts w:ascii="Times New Roman" w:hAnsi="Times New Roman" w:cs="Times New Roman"/>
          <w:sz w:val="24"/>
          <w:lang w:val="en"/>
        </w:rPr>
        <w:t>ble coded ‘1’ for non-Hispanic B</w:t>
      </w:r>
      <w:r w:rsidRPr="004A3F35">
        <w:rPr>
          <w:rFonts w:ascii="Times New Roman" w:hAnsi="Times New Roman" w:cs="Times New Roman"/>
          <w:sz w:val="24"/>
          <w:lang w:val="en"/>
        </w:rPr>
        <w:t xml:space="preserve">lacks, while </w:t>
      </w:r>
      <w:r w:rsidRPr="004A3F35">
        <w:rPr>
          <w:rFonts w:ascii="Times New Roman" w:hAnsi="Times New Roman" w:cs="Times New Roman"/>
          <w:i/>
          <w:sz w:val="24"/>
          <w:lang w:val="en"/>
        </w:rPr>
        <w:t xml:space="preserve">ethnicity </w:t>
      </w:r>
      <w:r w:rsidRPr="004A3F35">
        <w:rPr>
          <w:rFonts w:ascii="Times New Roman" w:hAnsi="Times New Roman" w:cs="Times New Roman"/>
          <w:sz w:val="24"/>
          <w:lang w:val="en"/>
        </w:rPr>
        <w:t xml:space="preserve">is a binary variable coded ‘1’ for Mexican Americans with non-Hispanic whites serving as the reference group for both the race and ethnicity variables. To test the hypothesis that the returns of education vary across race and ethnicity, interaction terms were constructed (race x education; ethnicity x education). </w:t>
      </w:r>
    </w:p>
    <w:p w14:paraId="1BD3E72D" w14:textId="77777777" w:rsidR="00E06257" w:rsidRPr="004A3F35" w:rsidRDefault="00E06257" w:rsidP="004A3F35">
      <w:pPr>
        <w:spacing w:after="0" w:line="480" w:lineRule="auto"/>
        <w:rPr>
          <w:rFonts w:ascii="Times New Roman" w:hAnsi="Times New Roman" w:cs="Times New Roman"/>
          <w:b/>
          <w:sz w:val="24"/>
          <w:lang w:val="en"/>
        </w:rPr>
      </w:pPr>
      <w:r w:rsidRPr="004A3F35">
        <w:rPr>
          <w:rFonts w:ascii="Times New Roman" w:hAnsi="Times New Roman" w:cs="Times New Roman"/>
          <w:b/>
          <w:i/>
          <w:sz w:val="24"/>
          <w:lang w:val="en"/>
        </w:rPr>
        <w:t>Additional Covariates</w:t>
      </w:r>
    </w:p>
    <w:p w14:paraId="2B586CA3" w14:textId="77777777" w:rsidR="00E06257" w:rsidRPr="004A3F35" w:rsidRDefault="00E06257" w:rsidP="004A3F35">
      <w:pPr>
        <w:spacing w:after="0" w:line="480" w:lineRule="auto"/>
        <w:ind w:firstLine="720"/>
        <w:rPr>
          <w:rFonts w:ascii="Times New Roman" w:hAnsi="Times New Roman" w:cs="Times New Roman"/>
          <w:sz w:val="24"/>
          <w:lang w:val="en"/>
        </w:rPr>
      </w:pPr>
      <w:r w:rsidRPr="004A3F35">
        <w:rPr>
          <w:rFonts w:ascii="Times New Roman" w:hAnsi="Times New Roman" w:cs="Times New Roman"/>
          <w:sz w:val="24"/>
          <w:lang w:val="en"/>
        </w:rPr>
        <w:t xml:space="preserve">A number of covariates that have known associations with cognitive health were included in analyses. </w:t>
      </w:r>
      <w:r w:rsidRPr="004A3F35">
        <w:rPr>
          <w:rFonts w:ascii="Times New Roman" w:hAnsi="Times New Roman" w:cs="Times New Roman"/>
          <w:i/>
          <w:sz w:val="24"/>
          <w:lang w:val="en"/>
        </w:rPr>
        <w:t xml:space="preserve">Number of health conditions </w:t>
      </w:r>
      <w:r w:rsidRPr="004A3F35">
        <w:rPr>
          <w:rFonts w:ascii="Times New Roman" w:hAnsi="Times New Roman" w:cs="Times New Roman"/>
          <w:sz w:val="24"/>
          <w:lang w:val="en"/>
        </w:rPr>
        <w:t xml:space="preserve">was treated as a continuous variable and represented the number of self-reported diagnosed diseases (arthritis, cancer, diabetes, heart disease, hypertension, lung disease, and/or stroke. </w:t>
      </w:r>
      <w:r w:rsidRPr="004A3F35">
        <w:rPr>
          <w:rFonts w:ascii="Times New Roman" w:hAnsi="Times New Roman" w:cs="Times New Roman"/>
          <w:i/>
          <w:sz w:val="24"/>
          <w:lang w:val="en"/>
        </w:rPr>
        <w:t xml:space="preserve">Psychiatric diagnosis </w:t>
      </w:r>
      <w:r w:rsidRPr="004A3F35">
        <w:rPr>
          <w:rFonts w:ascii="Times New Roman" w:hAnsi="Times New Roman" w:cs="Times New Roman"/>
          <w:sz w:val="24"/>
          <w:lang w:val="en"/>
        </w:rPr>
        <w:t>was a binary variable based on self-report of ever being diagnosed with an emotional, nervous, or psychiatric problem (0=no, 1=yes). The Center for Epidemiolo</w:t>
      </w:r>
      <w:r w:rsidR="006B431C">
        <w:rPr>
          <w:rFonts w:ascii="Times New Roman" w:hAnsi="Times New Roman" w:cs="Times New Roman"/>
          <w:sz w:val="24"/>
          <w:lang w:val="en"/>
        </w:rPr>
        <w:t>g</w:t>
      </w:r>
      <w:r w:rsidRPr="004A3F35">
        <w:rPr>
          <w:rFonts w:ascii="Times New Roman" w:hAnsi="Times New Roman" w:cs="Times New Roman"/>
          <w:sz w:val="24"/>
          <w:lang w:val="en"/>
        </w:rPr>
        <w:t xml:space="preserve">ic Studies Depression Scale (CES-D) was used with a cut-off </w:t>
      </w:r>
      <w:r w:rsidRPr="004A3F35">
        <w:rPr>
          <w:rFonts w:ascii="Times New Roman" w:hAnsi="Times New Roman" w:cs="Times New Roman"/>
          <w:sz w:val="24"/>
          <w:lang w:val="en"/>
        </w:rPr>
        <w:lastRenderedPageBreak/>
        <w:t xml:space="preserve">of ≥3 symptoms as indicating </w:t>
      </w:r>
      <w:r w:rsidRPr="004A3F35">
        <w:rPr>
          <w:rFonts w:ascii="Times New Roman" w:hAnsi="Times New Roman" w:cs="Times New Roman"/>
          <w:i/>
          <w:sz w:val="24"/>
          <w:lang w:val="en"/>
        </w:rPr>
        <w:t xml:space="preserve">depression </w:t>
      </w:r>
      <w:r w:rsidRPr="004A3F35">
        <w:rPr>
          <w:rFonts w:ascii="Times New Roman" w:hAnsi="Times New Roman" w:cs="Times New Roman"/>
          <w:sz w:val="24"/>
          <w:lang w:val="en"/>
        </w:rPr>
        <w:t xml:space="preserve">(0=no, 1=yes).  </w:t>
      </w:r>
      <w:r w:rsidRPr="004A3F35">
        <w:rPr>
          <w:rFonts w:ascii="Times New Roman" w:hAnsi="Times New Roman" w:cs="Times New Roman"/>
          <w:i/>
          <w:sz w:val="24"/>
          <w:lang w:val="en"/>
        </w:rPr>
        <w:t xml:space="preserve">Obesity </w:t>
      </w:r>
      <w:r w:rsidRPr="004A3F35">
        <w:rPr>
          <w:rFonts w:ascii="Times New Roman" w:hAnsi="Times New Roman" w:cs="Times New Roman"/>
          <w:sz w:val="24"/>
          <w:lang w:val="en"/>
        </w:rPr>
        <w:t xml:space="preserve">was treated as a binary indicator that indicated obese individuals if their BMI ≥ 30 (0=not obese, 1=obese). These measures tap into the overall health of the respondent. </w:t>
      </w:r>
    </w:p>
    <w:p w14:paraId="7A4C6108" w14:textId="77777777" w:rsidR="00E06257" w:rsidRPr="004A3F35" w:rsidRDefault="00E06257" w:rsidP="004A3F35">
      <w:pPr>
        <w:spacing w:after="0" w:line="480" w:lineRule="auto"/>
        <w:ind w:firstLine="720"/>
        <w:rPr>
          <w:rFonts w:ascii="Times New Roman" w:hAnsi="Times New Roman" w:cs="Times New Roman"/>
          <w:sz w:val="24"/>
          <w:lang w:val="en"/>
        </w:rPr>
      </w:pPr>
      <w:r w:rsidRPr="004A3F35">
        <w:rPr>
          <w:rFonts w:ascii="Times New Roman" w:hAnsi="Times New Roman" w:cs="Times New Roman"/>
          <w:sz w:val="24"/>
          <w:lang w:val="en"/>
        </w:rPr>
        <w:t xml:space="preserve">To capture health behaviors, the researchers included indicators for exercise, smoking and drinking. To capture </w:t>
      </w:r>
      <w:r w:rsidRPr="004A3F35">
        <w:rPr>
          <w:rFonts w:ascii="Times New Roman" w:hAnsi="Times New Roman" w:cs="Times New Roman"/>
          <w:i/>
          <w:sz w:val="24"/>
          <w:lang w:val="en"/>
        </w:rPr>
        <w:t xml:space="preserve">exercise intensity </w:t>
      </w:r>
      <w:r w:rsidRPr="004A3F35">
        <w:rPr>
          <w:rFonts w:ascii="Times New Roman" w:hAnsi="Times New Roman" w:cs="Times New Roman"/>
          <w:sz w:val="24"/>
          <w:lang w:val="en"/>
        </w:rPr>
        <w:t xml:space="preserve">the researchers combined two measures of frequency of moderate and vigorous physical activity. We categorized individuals as hardly ever or never (reference), sometimes (once a week or one to three times a month), or frequently (once a week) engaging in either moderate to vigorous physical activity. </w:t>
      </w:r>
      <w:r w:rsidRPr="004A3F35">
        <w:rPr>
          <w:rFonts w:ascii="Times New Roman" w:hAnsi="Times New Roman" w:cs="Times New Roman"/>
          <w:i/>
          <w:sz w:val="24"/>
          <w:lang w:val="en"/>
        </w:rPr>
        <w:t xml:space="preserve">Smoking status </w:t>
      </w:r>
      <w:r w:rsidRPr="004A3F35">
        <w:rPr>
          <w:rFonts w:ascii="Times New Roman" w:hAnsi="Times New Roman" w:cs="Times New Roman"/>
          <w:sz w:val="24"/>
          <w:lang w:val="en"/>
        </w:rPr>
        <w:t>was constructed by combing responses to whether respondents never smoked, were former smokers, or current smokers into a single categorical variable (reference = never smoked). D</w:t>
      </w:r>
      <w:r w:rsidRPr="004A3F35">
        <w:rPr>
          <w:rFonts w:ascii="Times New Roman" w:hAnsi="Times New Roman" w:cs="Times New Roman"/>
          <w:i/>
          <w:sz w:val="24"/>
          <w:lang w:val="en"/>
        </w:rPr>
        <w:t xml:space="preserve">rinking status </w:t>
      </w:r>
      <w:r w:rsidRPr="004A3F35">
        <w:rPr>
          <w:rFonts w:ascii="Times New Roman" w:hAnsi="Times New Roman" w:cs="Times New Roman"/>
          <w:sz w:val="24"/>
          <w:lang w:val="en"/>
        </w:rPr>
        <w:t>was constructed</w:t>
      </w:r>
      <w:r w:rsidRPr="004A3F35">
        <w:rPr>
          <w:rFonts w:ascii="Times New Roman" w:hAnsi="Times New Roman" w:cs="Times New Roman"/>
          <w:i/>
          <w:sz w:val="24"/>
          <w:lang w:val="en"/>
        </w:rPr>
        <w:t xml:space="preserve"> </w:t>
      </w:r>
      <w:r w:rsidRPr="004A3F35">
        <w:rPr>
          <w:rFonts w:ascii="Times New Roman" w:hAnsi="Times New Roman" w:cs="Times New Roman"/>
          <w:sz w:val="24"/>
          <w:lang w:val="en"/>
        </w:rPr>
        <w:t>by examining two questions asked of respondents: whether respondents ever drank an alcoholic beverage, and the number of alcoholic drinks consumed daily. Based on these responses, the researchers generated three categories: those who never drank (coded ‘0’), current moderate drinkers who reported drinking 1-2 drinks on days when drinking alcohol (coded ‘1’), and current heavy drinkers who reported drinking ≥3 drinks per day when drinking alcohol (coded ‘3’).</w:t>
      </w:r>
    </w:p>
    <w:p w14:paraId="5F337C78" w14:textId="77777777" w:rsidR="00E06257" w:rsidRPr="004A3F35" w:rsidRDefault="00E06257" w:rsidP="004A3F35">
      <w:pPr>
        <w:spacing w:after="0" w:line="480" w:lineRule="auto"/>
        <w:ind w:firstLine="720"/>
        <w:rPr>
          <w:rFonts w:ascii="Times New Roman" w:hAnsi="Times New Roman" w:cs="Times New Roman"/>
          <w:sz w:val="24"/>
          <w:lang w:val="en"/>
        </w:rPr>
      </w:pPr>
      <w:r w:rsidRPr="004A3F35">
        <w:rPr>
          <w:rFonts w:ascii="Times New Roman" w:hAnsi="Times New Roman" w:cs="Times New Roman"/>
          <w:sz w:val="24"/>
          <w:lang w:val="en"/>
        </w:rPr>
        <w:t xml:space="preserve">Sociodemographic controls include </w:t>
      </w:r>
      <w:r w:rsidRPr="004A3F35">
        <w:rPr>
          <w:rFonts w:ascii="Times New Roman" w:hAnsi="Times New Roman" w:cs="Times New Roman"/>
          <w:i/>
          <w:sz w:val="24"/>
          <w:lang w:val="en"/>
        </w:rPr>
        <w:t xml:space="preserve">age </w:t>
      </w:r>
      <w:r w:rsidRPr="004A3F35">
        <w:rPr>
          <w:rFonts w:ascii="Times New Roman" w:hAnsi="Times New Roman" w:cs="Times New Roman"/>
          <w:sz w:val="24"/>
          <w:lang w:val="en"/>
        </w:rPr>
        <w:t xml:space="preserve">(continuous, ranging from 65-102), </w:t>
      </w:r>
      <w:r w:rsidRPr="004A3F35">
        <w:rPr>
          <w:rFonts w:ascii="Times New Roman" w:hAnsi="Times New Roman" w:cs="Times New Roman"/>
          <w:i/>
          <w:sz w:val="24"/>
          <w:lang w:val="en"/>
        </w:rPr>
        <w:t xml:space="preserve">married/partnered </w:t>
      </w:r>
      <w:r w:rsidRPr="004A3F35">
        <w:rPr>
          <w:rFonts w:ascii="Times New Roman" w:hAnsi="Times New Roman" w:cs="Times New Roman"/>
          <w:sz w:val="24"/>
          <w:lang w:val="en"/>
        </w:rPr>
        <w:t xml:space="preserve">(0=no, 1=yes) and </w:t>
      </w:r>
      <w:r w:rsidRPr="004A3F35">
        <w:rPr>
          <w:rFonts w:ascii="Times New Roman" w:hAnsi="Times New Roman" w:cs="Times New Roman"/>
          <w:i/>
          <w:sz w:val="24"/>
          <w:lang w:val="en"/>
        </w:rPr>
        <w:t>sex</w:t>
      </w:r>
      <w:r w:rsidRPr="004A3F35">
        <w:rPr>
          <w:rFonts w:ascii="Times New Roman" w:hAnsi="Times New Roman" w:cs="Times New Roman"/>
          <w:sz w:val="24"/>
          <w:lang w:val="en"/>
        </w:rPr>
        <w:t xml:space="preserve"> (0=male, 1=female). We also included measures of </w:t>
      </w:r>
      <w:r w:rsidRPr="004A3F35">
        <w:rPr>
          <w:rFonts w:ascii="Times New Roman" w:hAnsi="Times New Roman" w:cs="Times New Roman"/>
          <w:i/>
          <w:sz w:val="24"/>
          <w:lang w:val="en"/>
        </w:rPr>
        <w:t>household income</w:t>
      </w:r>
      <w:r w:rsidRPr="004A3F35">
        <w:rPr>
          <w:rFonts w:ascii="Times New Roman" w:hAnsi="Times New Roman" w:cs="Times New Roman"/>
          <w:sz w:val="24"/>
          <w:lang w:val="en"/>
        </w:rPr>
        <w:t xml:space="preserve"> and </w:t>
      </w:r>
      <w:r w:rsidRPr="004A3F35">
        <w:rPr>
          <w:rFonts w:ascii="Times New Roman" w:hAnsi="Times New Roman" w:cs="Times New Roman"/>
          <w:i/>
          <w:sz w:val="24"/>
          <w:lang w:val="en"/>
        </w:rPr>
        <w:t>wealth</w:t>
      </w:r>
      <w:r w:rsidRPr="004A3F35">
        <w:rPr>
          <w:rFonts w:ascii="Times New Roman" w:hAnsi="Times New Roman" w:cs="Times New Roman"/>
          <w:sz w:val="24"/>
          <w:lang w:val="en"/>
        </w:rPr>
        <w:t xml:space="preserve"> reported in US dollars.</w:t>
      </w:r>
    </w:p>
    <w:p w14:paraId="108E80FA" w14:textId="6CF90985" w:rsidR="002A09DD" w:rsidRPr="00BF0ECD" w:rsidRDefault="003E1473" w:rsidP="00BF0ECD">
      <w:pPr>
        <w:spacing w:after="0" w:line="480" w:lineRule="auto"/>
        <w:rPr>
          <w:rFonts w:ascii="Times New Roman" w:hAnsi="Times New Roman" w:cs="Times New Roman"/>
          <w:b/>
          <w:sz w:val="24"/>
          <w:lang w:val="en"/>
        </w:rPr>
      </w:pPr>
      <w:r w:rsidRPr="004A3F35">
        <w:rPr>
          <w:rFonts w:ascii="Times New Roman" w:hAnsi="Times New Roman" w:cs="Times New Roman"/>
          <w:sz w:val="24"/>
          <w:lang w:val="en"/>
        </w:rPr>
        <w:t xml:space="preserve">Statistical analyses included descriptive statistics for all study variables. These were calculated for the overall sample and then within each race/ethnicity. Means and proportions across race/ethnicity were compared to test for statistically significant differences in study variables by group. Then, logistic regression models were run to test the study hypotheses. Model I examined </w:t>
      </w:r>
      <w:r w:rsidRPr="004A3F35">
        <w:rPr>
          <w:rFonts w:ascii="Times New Roman" w:hAnsi="Times New Roman" w:cs="Times New Roman"/>
          <w:sz w:val="24"/>
          <w:lang w:val="en"/>
        </w:rPr>
        <w:lastRenderedPageBreak/>
        <w:t>the direct effect of race and ethnicity on cognitive impairment controlling for sociodemographic and health characteristics. Next, Model II added years of education in addition to the variables included in Model 1.</w:t>
      </w:r>
      <w:r w:rsidR="00641830">
        <w:rPr>
          <w:rFonts w:ascii="Times New Roman" w:hAnsi="Times New Roman" w:cs="Times New Roman"/>
          <w:sz w:val="24"/>
          <w:lang w:val="en"/>
        </w:rPr>
        <w:t xml:space="preserve"> </w:t>
      </w:r>
      <w:r w:rsidRPr="004A3F35">
        <w:rPr>
          <w:rFonts w:ascii="Times New Roman" w:hAnsi="Times New Roman" w:cs="Times New Roman"/>
          <w:sz w:val="24"/>
          <w:lang w:val="en"/>
        </w:rPr>
        <w:t>Lastly, Model 3 added the race/ethnicity x education interaction terms to assess whether the effects of education are different across race/eth</w:t>
      </w:r>
      <w:r w:rsidR="00641830">
        <w:rPr>
          <w:rFonts w:ascii="Times New Roman" w:hAnsi="Times New Roman" w:cs="Times New Roman"/>
          <w:sz w:val="24"/>
          <w:lang w:val="en"/>
        </w:rPr>
        <w:t xml:space="preserve">nicity. The researchers used </w:t>
      </w:r>
      <w:r w:rsidRPr="004A3F35">
        <w:rPr>
          <w:rFonts w:ascii="Times New Roman" w:hAnsi="Times New Roman" w:cs="Times New Roman"/>
          <w:sz w:val="24"/>
          <w:lang w:val="en"/>
        </w:rPr>
        <w:t>α =0.05 to detect statistically significant differences in both descriptive and regression analyses.</w:t>
      </w:r>
    </w:p>
    <w:p w14:paraId="756881C3" w14:textId="77777777" w:rsidR="00641830" w:rsidRPr="009265F2" w:rsidRDefault="00641830" w:rsidP="009265F2"/>
    <w:p w14:paraId="57B928BF" w14:textId="7DB257AC" w:rsidR="002A09DD" w:rsidRDefault="00574963" w:rsidP="005851D2">
      <w:pPr>
        <w:pStyle w:val="ListParagraph"/>
        <w:numPr>
          <w:ilvl w:val="0"/>
          <w:numId w:val="9"/>
        </w:numPr>
        <w:tabs>
          <w:tab w:val="left" w:pos="7876"/>
        </w:tabs>
      </w:pPr>
      <w:r>
        <w:t>What type</w:t>
      </w:r>
      <w:r w:rsidR="002A09DD">
        <w:t>s</w:t>
      </w:r>
      <w:r>
        <w:t xml:space="preserve"> of data visualization tool</w:t>
      </w:r>
      <w:r w:rsidR="002A09DD">
        <w:t>s are</w:t>
      </w:r>
      <w:r>
        <w:t xml:space="preserve"> appropriate to represent the data? </w:t>
      </w:r>
      <w:r w:rsidR="00641830">
        <w:t xml:space="preserve">In your answer, identify which variables and/or associations and/or statistical methods you think should be represented by those tools. </w:t>
      </w:r>
    </w:p>
    <w:p w14:paraId="3DDA4BF5" w14:textId="77777777" w:rsidR="005851D2" w:rsidRDefault="005851D2" w:rsidP="005851D2">
      <w:pPr>
        <w:pStyle w:val="ListParagraph"/>
        <w:tabs>
          <w:tab w:val="left" w:pos="7876"/>
        </w:tabs>
      </w:pPr>
    </w:p>
    <w:p w14:paraId="76D4FA5A" w14:textId="00DA288D" w:rsidR="00641830" w:rsidRDefault="002A09DD" w:rsidP="005851D2">
      <w:pPr>
        <w:pStyle w:val="ListParagraph"/>
        <w:numPr>
          <w:ilvl w:val="0"/>
          <w:numId w:val="9"/>
        </w:numPr>
        <w:tabs>
          <w:tab w:val="left" w:pos="7876"/>
        </w:tabs>
      </w:pPr>
      <w:r>
        <w:t xml:space="preserve">Choose one of the tools identified above. </w:t>
      </w:r>
      <w:r w:rsidR="00574963">
        <w:t>Write a title for the data</w:t>
      </w:r>
      <w:r w:rsidR="00641830">
        <w:t xml:space="preserve"> visualization tool selected.</w:t>
      </w:r>
      <w:r w:rsidR="003B3C4D">
        <w:t xml:space="preserve"> Be sure to include all required components.</w:t>
      </w:r>
      <w:r w:rsidR="00641830">
        <w:t xml:space="preserve"> </w:t>
      </w:r>
    </w:p>
    <w:p w14:paraId="329AC7DB" w14:textId="77777777" w:rsidR="005851D2" w:rsidRDefault="005851D2" w:rsidP="005851D2">
      <w:pPr>
        <w:pStyle w:val="ListParagraph"/>
        <w:tabs>
          <w:tab w:val="left" w:pos="7876"/>
        </w:tabs>
      </w:pPr>
    </w:p>
    <w:p w14:paraId="63953DAA" w14:textId="322740FF" w:rsidR="00574963" w:rsidRPr="00972D7C" w:rsidRDefault="00574963" w:rsidP="00574963">
      <w:pPr>
        <w:pStyle w:val="ListParagraph"/>
        <w:numPr>
          <w:ilvl w:val="0"/>
          <w:numId w:val="9"/>
        </w:numPr>
        <w:tabs>
          <w:tab w:val="left" w:pos="7876"/>
        </w:tabs>
      </w:pPr>
      <w:r>
        <w:t>Create a shell of the data visualization tool you selected</w:t>
      </w:r>
      <w:r w:rsidR="00641830">
        <w:t xml:space="preserve"> in #2</w:t>
      </w:r>
      <w:r>
        <w:t xml:space="preserve">. Label/provide information for all required parts (i.e., X and Y axis, </w:t>
      </w:r>
      <w:r w:rsidR="00641830">
        <w:t xml:space="preserve">legend, row, column, footer). </w:t>
      </w:r>
    </w:p>
    <w:sectPr w:rsidR="00574963" w:rsidRPr="00972D7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F50AAF" w14:textId="77777777" w:rsidR="00E1382D" w:rsidRDefault="00E1382D" w:rsidP="002564AD">
      <w:pPr>
        <w:spacing w:after="0" w:line="240" w:lineRule="auto"/>
      </w:pPr>
      <w:r>
        <w:separator/>
      </w:r>
    </w:p>
  </w:endnote>
  <w:endnote w:type="continuationSeparator" w:id="0">
    <w:p w14:paraId="5B1267BA" w14:textId="77777777" w:rsidR="00E1382D" w:rsidRDefault="00E1382D" w:rsidP="00256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4196826"/>
      <w:docPartObj>
        <w:docPartGallery w:val="Page Numbers (Bottom of Page)"/>
        <w:docPartUnique/>
      </w:docPartObj>
    </w:sdtPr>
    <w:sdtEndPr>
      <w:rPr>
        <w:noProof/>
      </w:rPr>
    </w:sdtEndPr>
    <w:sdtContent>
      <w:p w14:paraId="12B7636D" w14:textId="77777777" w:rsidR="00816490" w:rsidRDefault="00816490">
        <w:pPr>
          <w:pStyle w:val="Footer"/>
          <w:jc w:val="center"/>
        </w:pPr>
        <w:r>
          <w:fldChar w:fldCharType="begin"/>
        </w:r>
        <w:r>
          <w:instrText xml:space="preserve"> PAGE   \* MERGEFORMAT </w:instrText>
        </w:r>
        <w:r>
          <w:fldChar w:fldCharType="separate"/>
        </w:r>
        <w:r w:rsidR="00116B3E">
          <w:rPr>
            <w:noProof/>
          </w:rPr>
          <w:t>6</w:t>
        </w:r>
        <w:r>
          <w:rPr>
            <w:noProof/>
          </w:rPr>
          <w:fldChar w:fldCharType="end"/>
        </w:r>
      </w:p>
    </w:sdtContent>
  </w:sdt>
  <w:p w14:paraId="206E18BA" w14:textId="77777777" w:rsidR="00816490" w:rsidRDefault="008164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E18919" w14:textId="77777777" w:rsidR="00E1382D" w:rsidRDefault="00E1382D" w:rsidP="002564AD">
      <w:pPr>
        <w:spacing w:after="0" w:line="240" w:lineRule="auto"/>
      </w:pPr>
      <w:r>
        <w:separator/>
      </w:r>
    </w:p>
  </w:footnote>
  <w:footnote w:type="continuationSeparator" w:id="0">
    <w:p w14:paraId="49146976" w14:textId="77777777" w:rsidR="00E1382D" w:rsidRDefault="00E1382D" w:rsidP="002564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44DD2"/>
    <w:multiLevelType w:val="hybridMultilevel"/>
    <w:tmpl w:val="6DE41E8C"/>
    <w:lvl w:ilvl="0" w:tplc="B79C6CFC">
      <w:start w:val="1"/>
      <w:numFmt w:val="bullet"/>
      <w:lvlText w:val=""/>
      <w:lvlJc w:val="left"/>
      <w:pPr>
        <w:ind w:left="660" w:hanging="360"/>
      </w:pPr>
      <w:rPr>
        <w:rFonts w:ascii="Wingdings" w:eastAsia="MS PGothic" w:hAnsi="Wingdings" w:cs="Arial" w:hint="default"/>
        <w:color w:val="000000" w:themeColor="text1"/>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 w15:restartNumberingAfterBreak="0">
    <w:nsid w:val="08BE1B25"/>
    <w:multiLevelType w:val="hybridMultilevel"/>
    <w:tmpl w:val="E4D0B944"/>
    <w:lvl w:ilvl="0" w:tplc="5634A3B6">
      <w:start w:val="1"/>
      <w:numFmt w:val="bullet"/>
      <w:lvlText w:val=""/>
      <w:lvlJc w:val="left"/>
      <w:pPr>
        <w:ind w:left="690" w:hanging="360"/>
      </w:pPr>
      <w:rPr>
        <w:rFonts w:ascii="Wingdings" w:eastAsia="MS PGothic" w:hAnsi="Wingdings" w:cs="Arial" w:hint="default"/>
        <w:color w:val="000000" w:themeColor="text1"/>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2" w15:restartNumberingAfterBreak="0">
    <w:nsid w:val="119660A9"/>
    <w:multiLevelType w:val="hybridMultilevel"/>
    <w:tmpl w:val="E234955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1245D84"/>
    <w:multiLevelType w:val="hybridMultilevel"/>
    <w:tmpl w:val="C3D667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FB1530"/>
    <w:multiLevelType w:val="hybridMultilevel"/>
    <w:tmpl w:val="2F6828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6D08A7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A45A76"/>
    <w:multiLevelType w:val="hybridMultilevel"/>
    <w:tmpl w:val="7014174C"/>
    <w:lvl w:ilvl="0" w:tplc="46DA7034">
      <w:start w:val="1"/>
      <w:numFmt w:val="bullet"/>
      <w:lvlText w:val=" "/>
      <w:lvlJc w:val="left"/>
      <w:pPr>
        <w:tabs>
          <w:tab w:val="num" w:pos="720"/>
        </w:tabs>
        <w:ind w:left="720" w:hanging="360"/>
      </w:pPr>
      <w:rPr>
        <w:rFonts w:ascii="Tw Cen MT" w:hAnsi="Tw Cen MT" w:hint="default"/>
      </w:rPr>
    </w:lvl>
    <w:lvl w:ilvl="1" w:tplc="F4B68F3C" w:tentative="1">
      <w:start w:val="1"/>
      <w:numFmt w:val="bullet"/>
      <w:lvlText w:val=" "/>
      <w:lvlJc w:val="left"/>
      <w:pPr>
        <w:tabs>
          <w:tab w:val="num" w:pos="1440"/>
        </w:tabs>
        <w:ind w:left="1440" w:hanging="360"/>
      </w:pPr>
      <w:rPr>
        <w:rFonts w:ascii="Tw Cen MT" w:hAnsi="Tw Cen MT" w:hint="default"/>
      </w:rPr>
    </w:lvl>
    <w:lvl w:ilvl="2" w:tplc="78724DC8" w:tentative="1">
      <w:start w:val="1"/>
      <w:numFmt w:val="bullet"/>
      <w:lvlText w:val=" "/>
      <w:lvlJc w:val="left"/>
      <w:pPr>
        <w:tabs>
          <w:tab w:val="num" w:pos="2160"/>
        </w:tabs>
        <w:ind w:left="2160" w:hanging="360"/>
      </w:pPr>
      <w:rPr>
        <w:rFonts w:ascii="Tw Cen MT" w:hAnsi="Tw Cen MT" w:hint="default"/>
      </w:rPr>
    </w:lvl>
    <w:lvl w:ilvl="3" w:tplc="63D8AA16" w:tentative="1">
      <w:start w:val="1"/>
      <w:numFmt w:val="bullet"/>
      <w:lvlText w:val=" "/>
      <w:lvlJc w:val="left"/>
      <w:pPr>
        <w:tabs>
          <w:tab w:val="num" w:pos="2880"/>
        </w:tabs>
        <w:ind w:left="2880" w:hanging="360"/>
      </w:pPr>
      <w:rPr>
        <w:rFonts w:ascii="Tw Cen MT" w:hAnsi="Tw Cen MT" w:hint="default"/>
      </w:rPr>
    </w:lvl>
    <w:lvl w:ilvl="4" w:tplc="BAB8ADEA" w:tentative="1">
      <w:start w:val="1"/>
      <w:numFmt w:val="bullet"/>
      <w:lvlText w:val=" "/>
      <w:lvlJc w:val="left"/>
      <w:pPr>
        <w:tabs>
          <w:tab w:val="num" w:pos="3600"/>
        </w:tabs>
        <w:ind w:left="3600" w:hanging="360"/>
      </w:pPr>
      <w:rPr>
        <w:rFonts w:ascii="Tw Cen MT" w:hAnsi="Tw Cen MT" w:hint="default"/>
      </w:rPr>
    </w:lvl>
    <w:lvl w:ilvl="5" w:tplc="7EBC7818" w:tentative="1">
      <w:start w:val="1"/>
      <w:numFmt w:val="bullet"/>
      <w:lvlText w:val=" "/>
      <w:lvlJc w:val="left"/>
      <w:pPr>
        <w:tabs>
          <w:tab w:val="num" w:pos="4320"/>
        </w:tabs>
        <w:ind w:left="4320" w:hanging="360"/>
      </w:pPr>
      <w:rPr>
        <w:rFonts w:ascii="Tw Cen MT" w:hAnsi="Tw Cen MT" w:hint="default"/>
      </w:rPr>
    </w:lvl>
    <w:lvl w:ilvl="6" w:tplc="CBAE48CE" w:tentative="1">
      <w:start w:val="1"/>
      <w:numFmt w:val="bullet"/>
      <w:lvlText w:val=" "/>
      <w:lvlJc w:val="left"/>
      <w:pPr>
        <w:tabs>
          <w:tab w:val="num" w:pos="5040"/>
        </w:tabs>
        <w:ind w:left="5040" w:hanging="360"/>
      </w:pPr>
      <w:rPr>
        <w:rFonts w:ascii="Tw Cen MT" w:hAnsi="Tw Cen MT" w:hint="default"/>
      </w:rPr>
    </w:lvl>
    <w:lvl w:ilvl="7" w:tplc="8E721FE2" w:tentative="1">
      <w:start w:val="1"/>
      <w:numFmt w:val="bullet"/>
      <w:lvlText w:val=" "/>
      <w:lvlJc w:val="left"/>
      <w:pPr>
        <w:tabs>
          <w:tab w:val="num" w:pos="5760"/>
        </w:tabs>
        <w:ind w:left="5760" w:hanging="360"/>
      </w:pPr>
      <w:rPr>
        <w:rFonts w:ascii="Tw Cen MT" w:hAnsi="Tw Cen MT" w:hint="default"/>
      </w:rPr>
    </w:lvl>
    <w:lvl w:ilvl="8" w:tplc="62C45DE0" w:tentative="1">
      <w:start w:val="1"/>
      <w:numFmt w:val="bullet"/>
      <w:lvlText w:val=" "/>
      <w:lvlJc w:val="left"/>
      <w:pPr>
        <w:tabs>
          <w:tab w:val="num" w:pos="6480"/>
        </w:tabs>
        <w:ind w:left="6480" w:hanging="360"/>
      </w:pPr>
      <w:rPr>
        <w:rFonts w:ascii="Tw Cen MT" w:hAnsi="Tw Cen MT" w:hint="default"/>
      </w:rPr>
    </w:lvl>
  </w:abstractNum>
  <w:abstractNum w:abstractNumId="6" w15:restartNumberingAfterBreak="0">
    <w:nsid w:val="45B57888"/>
    <w:multiLevelType w:val="hybridMultilevel"/>
    <w:tmpl w:val="F708B996"/>
    <w:lvl w:ilvl="0" w:tplc="FF586DE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C76B57"/>
    <w:multiLevelType w:val="hybridMultilevel"/>
    <w:tmpl w:val="F00CB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3F4F9E"/>
    <w:multiLevelType w:val="hybridMultilevel"/>
    <w:tmpl w:val="706070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8"/>
  </w:num>
  <w:num w:numId="5">
    <w:abstractNumId w:val="1"/>
  </w:num>
  <w:num w:numId="6">
    <w:abstractNumId w:val="0"/>
  </w:num>
  <w:num w:numId="7">
    <w:abstractNumId w:val="3"/>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F85"/>
    <w:rsid w:val="0003634A"/>
    <w:rsid w:val="000708EC"/>
    <w:rsid w:val="000930AE"/>
    <w:rsid w:val="000E3515"/>
    <w:rsid w:val="00116B3E"/>
    <w:rsid w:val="001D107B"/>
    <w:rsid w:val="001D378A"/>
    <w:rsid w:val="00210617"/>
    <w:rsid w:val="00217017"/>
    <w:rsid w:val="002564AD"/>
    <w:rsid w:val="002772CE"/>
    <w:rsid w:val="00295528"/>
    <w:rsid w:val="002A09DD"/>
    <w:rsid w:val="002B4452"/>
    <w:rsid w:val="002E05A7"/>
    <w:rsid w:val="00301CF8"/>
    <w:rsid w:val="003058B3"/>
    <w:rsid w:val="00321148"/>
    <w:rsid w:val="00331B2B"/>
    <w:rsid w:val="0033518F"/>
    <w:rsid w:val="003455F4"/>
    <w:rsid w:val="0036556E"/>
    <w:rsid w:val="003B3C4D"/>
    <w:rsid w:val="003D0AB3"/>
    <w:rsid w:val="003D1472"/>
    <w:rsid w:val="003E1473"/>
    <w:rsid w:val="004053AF"/>
    <w:rsid w:val="004078BB"/>
    <w:rsid w:val="004131E8"/>
    <w:rsid w:val="004A3F35"/>
    <w:rsid w:val="004A7535"/>
    <w:rsid w:val="004C7EF3"/>
    <w:rsid w:val="004F565D"/>
    <w:rsid w:val="00536189"/>
    <w:rsid w:val="00574963"/>
    <w:rsid w:val="005851D2"/>
    <w:rsid w:val="006152A4"/>
    <w:rsid w:val="00641830"/>
    <w:rsid w:val="00654890"/>
    <w:rsid w:val="00661CA3"/>
    <w:rsid w:val="006B431C"/>
    <w:rsid w:val="006E2F85"/>
    <w:rsid w:val="006F708B"/>
    <w:rsid w:val="007126B7"/>
    <w:rsid w:val="00713F0E"/>
    <w:rsid w:val="007C5C74"/>
    <w:rsid w:val="007F621A"/>
    <w:rsid w:val="008006B1"/>
    <w:rsid w:val="00805CFA"/>
    <w:rsid w:val="00807552"/>
    <w:rsid w:val="00816490"/>
    <w:rsid w:val="008367BF"/>
    <w:rsid w:val="00860D67"/>
    <w:rsid w:val="008D2720"/>
    <w:rsid w:val="00902A60"/>
    <w:rsid w:val="009265F2"/>
    <w:rsid w:val="00972D7C"/>
    <w:rsid w:val="00974AAD"/>
    <w:rsid w:val="0098677C"/>
    <w:rsid w:val="009B42A1"/>
    <w:rsid w:val="009C041C"/>
    <w:rsid w:val="009D6E79"/>
    <w:rsid w:val="00A01D46"/>
    <w:rsid w:val="00A0721C"/>
    <w:rsid w:val="00A30915"/>
    <w:rsid w:val="00A61A32"/>
    <w:rsid w:val="00A7253D"/>
    <w:rsid w:val="00A72FF6"/>
    <w:rsid w:val="00A941C4"/>
    <w:rsid w:val="00AC4992"/>
    <w:rsid w:val="00B2592A"/>
    <w:rsid w:val="00B55391"/>
    <w:rsid w:val="00BC1BD5"/>
    <w:rsid w:val="00BD1460"/>
    <w:rsid w:val="00BE1C78"/>
    <w:rsid w:val="00BE32E5"/>
    <w:rsid w:val="00BF0ECD"/>
    <w:rsid w:val="00BF58FB"/>
    <w:rsid w:val="00C017C5"/>
    <w:rsid w:val="00C119FB"/>
    <w:rsid w:val="00C23600"/>
    <w:rsid w:val="00C44131"/>
    <w:rsid w:val="00C7146D"/>
    <w:rsid w:val="00CB4DC1"/>
    <w:rsid w:val="00CC7D87"/>
    <w:rsid w:val="00CD1491"/>
    <w:rsid w:val="00CD2533"/>
    <w:rsid w:val="00CF24F4"/>
    <w:rsid w:val="00CF5427"/>
    <w:rsid w:val="00D11A37"/>
    <w:rsid w:val="00D3023A"/>
    <w:rsid w:val="00DA3757"/>
    <w:rsid w:val="00DE3C6A"/>
    <w:rsid w:val="00E06257"/>
    <w:rsid w:val="00E1382D"/>
    <w:rsid w:val="00E468A3"/>
    <w:rsid w:val="00E53F20"/>
    <w:rsid w:val="00E93C2E"/>
    <w:rsid w:val="00F0367A"/>
    <w:rsid w:val="00F05247"/>
    <w:rsid w:val="00F47C8E"/>
    <w:rsid w:val="00F8003C"/>
    <w:rsid w:val="00F8111A"/>
    <w:rsid w:val="00F913C5"/>
    <w:rsid w:val="00F93F07"/>
    <w:rsid w:val="00FA23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ECB9C"/>
  <w15:chartTrackingRefBased/>
  <w15:docId w15:val="{A92433D9-93EE-4391-9E14-C3999FFAC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2F85"/>
    <w:pPr>
      <w:ind w:left="720"/>
      <w:contextualSpacing/>
    </w:pPr>
  </w:style>
  <w:style w:type="paragraph" w:styleId="Header">
    <w:name w:val="header"/>
    <w:basedOn w:val="Normal"/>
    <w:link w:val="HeaderChar"/>
    <w:uiPriority w:val="99"/>
    <w:unhideWhenUsed/>
    <w:rsid w:val="002564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64AD"/>
  </w:style>
  <w:style w:type="paragraph" w:styleId="Footer">
    <w:name w:val="footer"/>
    <w:basedOn w:val="Normal"/>
    <w:link w:val="FooterChar"/>
    <w:uiPriority w:val="99"/>
    <w:unhideWhenUsed/>
    <w:rsid w:val="002564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64AD"/>
  </w:style>
  <w:style w:type="table" w:styleId="TableGrid">
    <w:name w:val="Table Grid"/>
    <w:basedOn w:val="TableNormal"/>
    <w:uiPriority w:val="39"/>
    <w:rsid w:val="004F56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61CA3"/>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011926">
      <w:bodyDiv w:val="1"/>
      <w:marLeft w:val="0"/>
      <w:marRight w:val="0"/>
      <w:marTop w:val="0"/>
      <w:marBottom w:val="0"/>
      <w:divBdr>
        <w:top w:val="none" w:sz="0" w:space="0" w:color="auto"/>
        <w:left w:val="none" w:sz="0" w:space="0" w:color="auto"/>
        <w:bottom w:val="none" w:sz="0" w:space="0" w:color="auto"/>
        <w:right w:val="none" w:sz="0" w:space="0" w:color="auto"/>
      </w:divBdr>
      <w:divsChild>
        <w:div w:id="1218009725">
          <w:marLeft w:val="720"/>
          <w:marRight w:val="0"/>
          <w:marTop w:val="154"/>
          <w:marBottom w:val="0"/>
          <w:divBdr>
            <w:top w:val="none" w:sz="0" w:space="0" w:color="auto"/>
            <w:left w:val="none" w:sz="0" w:space="0" w:color="auto"/>
            <w:bottom w:val="none" w:sz="0" w:space="0" w:color="auto"/>
            <w:right w:val="none" w:sz="0" w:space="0" w:color="auto"/>
          </w:divBdr>
        </w:div>
        <w:div w:id="731734900">
          <w:marLeft w:val="720"/>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1793</TotalTime>
  <Pages>4</Pages>
  <Words>942</Words>
  <Characters>5373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Thierry</dc:creator>
  <cp:keywords/>
  <dc:description/>
  <cp:lastModifiedBy>Al Lami, Mustafa</cp:lastModifiedBy>
  <cp:revision>88</cp:revision>
  <dcterms:created xsi:type="dcterms:W3CDTF">2019-03-18T19:17:00Z</dcterms:created>
  <dcterms:modified xsi:type="dcterms:W3CDTF">2021-04-20T23:56:00Z</dcterms:modified>
</cp:coreProperties>
</file>