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7A68FF" w14:textId="031EDB8A" w:rsidR="007B71A7" w:rsidRDefault="007B71A7">
      <w:pPr>
        <w:rPr>
          <w:rFonts w:ascii="Calibri" w:hAnsi="Calibri" w:cs="Calibri"/>
        </w:rPr>
      </w:pPr>
    </w:p>
    <w:p w14:paraId="261AE537" w14:textId="77777777" w:rsidR="007B71A7" w:rsidRPr="00365B3D" w:rsidRDefault="007B71A7" w:rsidP="007B71A7">
      <w:pPr>
        <w:pStyle w:val="Footer"/>
        <w:rPr>
          <w:color w:val="FF0000"/>
        </w:rPr>
      </w:pPr>
      <w:r w:rsidRPr="00365B3D">
        <w:rPr>
          <w:noProof/>
          <w:color w:val="FF0000"/>
          <w:highlight w:val="red"/>
        </w:rPr>
        <mc:AlternateContent>
          <mc:Choice Requires="wps">
            <w:drawing>
              <wp:anchor distT="0" distB="0" distL="114300" distR="114300" simplePos="0" relativeHeight="251659264" behindDoc="0" locked="0" layoutInCell="1" allowOverlap="1" wp14:anchorId="6A30ECD0" wp14:editId="71F9C718">
                <wp:simplePos x="0" y="0"/>
                <wp:positionH relativeFrom="column">
                  <wp:posOffset>-409575</wp:posOffset>
                </wp:positionH>
                <wp:positionV relativeFrom="paragraph">
                  <wp:posOffset>83820</wp:posOffset>
                </wp:positionV>
                <wp:extent cx="6924675" cy="3810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6924675" cy="3810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CC7D98"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6.6pt" to="51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" strokecolor="red" strokeweight=".5pt">
                <v:stroke joinstyle="miter"/>
              </v:line>
            </w:pict>
          </mc:Fallback>
        </mc:AlternateContent>
      </w:r>
    </w:p>
    <w:p w14:paraId="70D83C01" w14:textId="5F48B399" w:rsidR="00A06F28" w:rsidRDefault="00A06F28" w:rsidP="00E44686">
      <w:pPr>
        <w:jc w:val="center"/>
        <w:rPr>
          <w:rFonts w:ascii="Times New Roman" w:hAnsi="Times New Roman" w:cs="Times New Roman"/>
          <w:sz w:val="20"/>
          <w:szCs w:val="20"/>
        </w:rPr>
      </w:pPr>
      <w:r>
        <w:rPr>
          <w:rFonts w:ascii="Calibri" w:hAnsi="Calibri" w:cs="Calibri"/>
        </w:rPr>
        <w:br/>
      </w:r>
    </w:p>
    <w:p w14:paraId="3282E814" w14:textId="77777777" w:rsidR="006A47CE" w:rsidRDefault="006A47CE" w:rsidP="00E44686">
      <w:pPr>
        <w:jc w:val="center"/>
        <w:rPr>
          <w:rFonts w:ascii="Times New Roman" w:hAnsi="Times New Roman" w:cs="Times New Roman"/>
          <w:sz w:val="20"/>
          <w:szCs w:val="20"/>
        </w:rPr>
      </w:pPr>
    </w:p>
    <w:p w14:paraId="630E0887" w14:textId="77777777" w:rsidR="006A47CE" w:rsidRDefault="00D85C8B" w:rsidP="006A47CE">
      <w:pPr>
        <w:rPr>
          <w:rFonts w:ascii="Times New Roman" w:hAnsi="Times New Roman" w:cs="Times New Roman"/>
          <w:b/>
          <w:szCs w:val="20"/>
        </w:rPr>
      </w:pPr>
      <w:r>
        <w:rPr>
          <w:rFonts w:ascii="Times New Roman" w:hAnsi="Times New Roman" w:cs="Times New Roman"/>
          <w:b/>
          <w:szCs w:val="20"/>
        </w:rPr>
        <w:t>Analytics Assignment</w:t>
      </w:r>
    </w:p>
    <w:p w14:paraId="68FB41B5" w14:textId="444D29C8" w:rsidR="00B5724D" w:rsidRDefault="006A47CE" w:rsidP="006A47CE">
      <w:pPr>
        <w:rPr>
          <w:rFonts w:ascii="Times New Roman" w:hAnsi="Times New Roman" w:cs="Times New Roman"/>
          <w:b/>
          <w:szCs w:val="20"/>
        </w:rPr>
      </w:pPr>
      <w:r>
        <w:rPr>
          <w:rFonts w:ascii="Times New Roman" w:hAnsi="Times New Roman" w:cs="Times New Roman"/>
          <w:b/>
          <w:szCs w:val="20"/>
        </w:rPr>
        <w:t xml:space="preserve">Format: </w:t>
      </w:r>
      <w:proofErr w:type="spellStart"/>
      <w:r w:rsidR="00D85C8B">
        <w:rPr>
          <w:rFonts w:ascii="Times New Roman" w:hAnsi="Times New Roman" w:cs="Times New Roman"/>
          <w:b/>
          <w:szCs w:val="20"/>
        </w:rPr>
        <w:t>Powerpoint</w:t>
      </w:r>
      <w:proofErr w:type="spellEnd"/>
      <w:r w:rsidR="00D85C8B">
        <w:rPr>
          <w:rFonts w:ascii="Times New Roman" w:hAnsi="Times New Roman" w:cs="Times New Roman"/>
          <w:b/>
          <w:szCs w:val="20"/>
        </w:rPr>
        <w:t xml:space="preserve"> to answer questions accompanied by STATA do file</w:t>
      </w:r>
      <w:r w:rsidR="00C26176">
        <w:rPr>
          <w:rFonts w:ascii="Times New Roman" w:hAnsi="Times New Roman" w:cs="Times New Roman"/>
          <w:b/>
          <w:szCs w:val="20"/>
        </w:rPr>
        <w:t xml:space="preserve">. </w:t>
      </w:r>
      <w:r w:rsidR="003F4F32">
        <w:rPr>
          <w:rFonts w:ascii="Times New Roman" w:hAnsi="Times New Roman" w:cs="Times New Roman"/>
          <w:b/>
          <w:szCs w:val="20"/>
        </w:rPr>
        <w:t xml:space="preserve">Use one slide per question (e.g. part a, slide 1, part b, slide 2…).  </w:t>
      </w:r>
      <w:r w:rsidR="00C26176">
        <w:rPr>
          <w:rFonts w:ascii="Times New Roman" w:hAnsi="Times New Roman" w:cs="Times New Roman"/>
          <w:b/>
          <w:szCs w:val="20"/>
        </w:rPr>
        <w:t>Please answer each question part on a si</w:t>
      </w:r>
      <w:r w:rsidR="00357A3E">
        <w:rPr>
          <w:rFonts w:ascii="Times New Roman" w:hAnsi="Times New Roman" w:cs="Times New Roman"/>
          <w:b/>
          <w:szCs w:val="20"/>
        </w:rPr>
        <w:t>ngle slide and format appropriately as if this were a presentation.  You must submit a “log file” and a “do file” as well</w:t>
      </w:r>
      <w:r w:rsidR="00FD1B11">
        <w:rPr>
          <w:rFonts w:ascii="Times New Roman" w:hAnsi="Times New Roman" w:cs="Times New Roman"/>
          <w:b/>
          <w:szCs w:val="20"/>
        </w:rPr>
        <w:t xml:space="preserve"> via email</w:t>
      </w:r>
      <w:r w:rsidR="00357A3E">
        <w:rPr>
          <w:rFonts w:ascii="Times New Roman" w:hAnsi="Times New Roman" w:cs="Times New Roman"/>
          <w:b/>
          <w:szCs w:val="20"/>
        </w:rPr>
        <w:t>.</w:t>
      </w:r>
      <w:r w:rsidR="00855E89">
        <w:rPr>
          <w:rFonts w:ascii="Times New Roman" w:hAnsi="Times New Roman" w:cs="Times New Roman"/>
          <w:b/>
          <w:szCs w:val="20"/>
        </w:rPr>
        <w:t xml:space="preserve">  </w:t>
      </w:r>
    </w:p>
    <w:p w14:paraId="578B0138" w14:textId="77777777" w:rsidR="007D76C8" w:rsidRPr="00357A3E" w:rsidRDefault="00721BA2" w:rsidP="009E2A96">
      <w:pPr>
        <w:pStyle w:val="ListParagraph"/>
        <w:numPr>
          <w:ilvl w:val="0"/>
          <w:numId w:val="2"/>
        </w:numPr>
        <w:rPr>
          <w:rFonts w:ascii="Times New Roman" w:hAnsi="Times New Roman" w:cs="Times New Roman"/>
          <w:b/>
          <w:sz w:val="24"/>
        </w:rPr>
      </w:pPr>
      <w:r w:rsidRPr="00357A3E">
        <w:rPr>
          <w:rFonts w:ascii="Times New Roman" w:hAnsi="Times New Roman" w:cs="Times New Roman"/>
          <w:b/>
          <w:sz w:val="24"/>
        </w:rPr>
        <w:t>Download</w:t>
      </w:r>
      <w:r w:rsidR="009E2A96" w:rsidRPr="00357A3E">
        <w:rPr>
          <w:rFonts w:ascii="Times New Roman" w:hAnsi="Times New Roman" w:cs="Times New Roman"/>
          <w:b/>
          <w:sz w:val="24"/>
        </w:rPr>
        <w:t xml:space="preserve"> the </w:t>
      </w:r>
      <w:r w:rsidR="00FD1B11">
        <w:rPr>
          <w:rFonts w:ascii="Times New Roman" w:hAnsi="Times New Roman" w:cs="Times New Roman"/>
          <w:b/>
          <w:sz w:val="24"/>
        </w:rPr>
        <w:t xml:space="preserve">2016 </w:t>
      </w:r>
      <w:r w:rsidR="009E2A96" w:rsidRPr="00357A3E">
        <w:rPr>
          <w:rFonts w:ascii="Times New Roman" w:hAnsi="Times New Roman" w:cs="Times New Roman"/>
          <w:b/>
          <w:sz w:val="24"/>
        </w:rPr>
        <w:t>SPARCS Dataset available from Health.Data.NY.gov (Hospital Inpatient Discharges (SPARCS De-Identified))</w:t>
      </w:r>
    </w:p>
    <w:p w14:paraId="0ABAAAD9" w14:textId="77777777" w:rsidR="009E2A96" w:rsidRPr="00357A3E" w:rsidRDefault="00721BA2" w:rsidP="00441A43">
      <w:pPr>
        <w:rPr>
          <w:i/>
        </w:rPr>
      </w:pPr>
      <w:r w:rsidRPr="00357A3E">
        <w:rPr>
          <w:i/>
        </w:rPr>
        <w:t>(I recommend using the “</w:t>
      </w:r>
      <w:proofErr w:type="spellStart"/>
      <w:r w:rsidRPr="00357A3E">
        <w:rPr>
          <w:i/>
        </w:rPr>
        <w:t>insheet</w:t>
      </w:r>
      <w:proofErr w:type="spellEnd"/>
      <w:r w:rsidRPr="00357A3E">
        <w:rPr>
          <w:i/>
        </w:rPr>
        <w:t>” command to import the data</w:t>
      </w:r>
      <w:r w:rsidR="00357A3E" w:rsidRPr="00357A3E">
        <w:rPr>
          <w:i/>
        </w:rPr>
        <w:t>, keeping only the data that you need</w:t>
      </w:r>
      <w:r w:rsidRPr="00357A3E">
        <w:rPr>
          <w:i/>
        </w:rPr>
        <w:t xml:space="preserve"> and then saving t</w:t>
      </w:r>
      <w:r w:rsidR="00357A3E" w:rsidRPr="00357A3E">
        <w:rPr>
          <w:i/>
        </w:rPr>
        <w:t>he data in STATA format (.</w:t>
      </w:r>
      <w:proofErr w:type="spellStart"/>
      <w:r w:rsidR="00357A3E" w:rsidRPr="00357A3E">
        <w:rPr>
          <w:i/>
        </w:rPr>
        <w:t>dta</w:t>
      </w:r>
      <w:proofErr w:type="spellEnd"/>
      <w:r w:rsidR="00357A3E" w:rsidRPr="00357A3E">
        <w:rPr>
          <w:i/>
        </w:rPr>
        <w:t>))</w:t>
      </w:r>
    </w:p>
    <w:p w14:paraId="3638F0B8" w14:textId="77777777" w:rsidR="001778D8" w:rsidRPr="00357A3E" w:rsidRDefault="001778D8" w:rsidP="00357A3E">
      <w:pPr>
        <w:pStyle w:val="ListParagraph"/>
        <w:numPr>
          <w:ilvl w:val="0"/>
          <w:numId w:val="3"/>
        </w:numPr>
      </w:pPr>
      <w:r>
        <w:t xml:space="preserve">Where did patients get discharged </w:t>
      </w:r>
      <w:r w:rsidR="007E1AEC">
        <w:t xml:space="preserve">(e.g. home, hospice, </w:t>
      </w:r>
      <w:proofErr w:type="spellStart"/>
      <w:r w:rsidR="007E1AEC">
        <w:t>etc</w:t>
      </w:r>
      <w:proofErr w:type="spellEnd"/>
      <w:r w:rsidR="007E1AEC">
        <w:t xml:space="preserve">) </w:t>
      </w:r>
      <w:r>
        <w:t>to when they were discharged from the hospital?  Where did the men go and where did the women go?  You must use the data dictionary and codebook to determine this.  Show your answer in a table with percentages.</w:t>
      </w:r>
    </w:p>
    <w:p w14:paraId="41778AED" w14:textId="77777777" w:rsidR="001778D8" w:rsidRDefault="001778D8" w:rsidP="001778D8">
      <w:pPr>
        <w:pStyle w:val="ListParagraph"/>
      </w:pPr>
    </w:p>
    <w:p w14:paraId="221975E6" w14:textId="77777777" w:rsidR="009E2A96" w:rsidRDefault="009E2A96" w:rsidP="009E2A96">
      <w:pPr>
        <w:pStyle w:val="ListParagraph"/>
        <w:numPr>
          <w:ilvl w:val="0"/>
          <w:numId w:val="3"/>
        </w:numPr>
      </w:pPr>
      <w:r>
        <w:t>In a table, show the average length of stay of patients at every hospital in Westchester county in 2016.  Create a co</w:t>
      </w:r>
      <w:r w:rsidR="00F1084E">
        <w:t xml:space="preserve">lumn for Medicare, Medicaid, </w:t>
      </w:r>
      <w:r>
        <w:t>Commercially Insured</w:t>
      </w:r>
      <w:r w:rsidR="00F1084E">
        <w:t xml:space="preserve"> and Other</w:t>
      </w:r>
      <w:r w:rsidR="00721BA2">
        <w:t xml:space="preserve">.  List the hospitals vertically in rows and make the insurance types the columns and include totals both vertically and horizontally.  </w:t>
      </w:r>
      <w:r w:rsidR="00DB6A8C">
        <w:t>Show</w:t>
      </w:r>
      <w:r w:rsidR="00721BA2">
        <w:t xml:space="preserve"> as both absolute counts and percentages.</w:t>
      </w:r>
    </w:p>
    <w:p w14:paraId="45CCBD30" w14:textId="77777777" w:rsidR="00564AC1" w:rsidRDefault="00564AC1" w:rsidP="00441A43">
      <w:pPr>
        <w:rPr>
          <w:i/>
        </w:rPr>
      </w:pPr>
    </w:p>
    <w:p w14:paraId="5A82C2F6" w14:textId="77777777" w:rsidR="00564AC1" w:rsidRDefault="00564AC1" w:rsidP="00441A43">
      <w:pPr>
        <w:rPr>
          <w:i/>
        </w:rPr>
      </w:pPr>
    </w:p>
    <w:p w14:paraId="657E401D" w14:textId="77777777" w:rsidR="00564AC1" w:rsidRDefault="00564AC1" w:rsidP="00441A43">
      <w:pPr>
        <w:rPr>
          <w:i/>
        </w:rPr>
      </w:pPr>
    </w:p>
    <w:p w14:paraId="376E9631" w14:textId="77777777" w:rsidR="00441A43" w:rsidRPr="00FD1B11" w:rsidRDefault="00441A43" w:rsidP="00441A43">
      <w:pPr>
        <w:rPr>
          <w:i/>
        </w:rPr>
      </w:pPr>
      <w:r w:rsidRPr="00FD1B11">
        <w:rPr>
          <w:i/>
        </w:rPr>
        <w:t>Note</w:t>
      </w:r>
      <w:r w:rsidR="007E1AEC" w:rsidRPr="00FD1B11">
        <w:rPr>
          <w:i/>
        </w:rPr>
        <w:t>1</w:t>
      </w:r>
      <w:r w:rsidRPr="00FD1B11">
        <w:rPr>
          <w:i/>
        </w:rPr>
        <w:t>:</w:t>
      </w:r>
      <w:r w:rsidR="007E1AEC" w:rsidRPr="00FD1B11">
        <w:rPr>
          <w:i/>
        </w:rPr>
        <w:t xml:space="preserve">  Use the table below to better classify insurance type</w:t>
      </w:r>
      <w:r w:rsidRPr="00FD1B11">
        <w:rPr>
          <w:i/>
        </w:rPr>
        <w:t xml:space="preserve"> </w:t>
      </w:r>
    </w:p>
    <w:tbl>
      <w:tblPr>
        <w:tblStyle w:val="TableGrid"/>
        <w:tblW w:w="0" w:type="auto"/>
        <w:tblLook w:val="04A0" w:firstRow="1" w:lastRow="0" w:firstColumn="1" w:lastColumn="0" w:noHBand="0" w:noVBand="1"/>
      </w:tblPr>
      <w:tblGrid>
        <w:gridCol w:w="4675"/>
        <w:gridCol w:w="4675"/>
      </w:tblGrid>
      <w:tr w:rsidR="00441A43" w14:paraId="224E3866" w14:textId="77777777" w:rsidTr="00441A43">
        <w:tc>
          <w:tcPr>
            <w:tcW w:w="4675" w:type="dxa"/>
            <w:shd w:val="clear" w:color="auto" w:fill="000000" w:themeFill="text1"/>
          </w:tcPr>
          <w:p w14:paraId="2884A0BB" w14:textId="77777777" w:rsidR="00441A43" w:rsidRPr="00441A43" w:rsidRDefault="00441A43" w:rsidP="00441A43">
            <w:pPr>
              <w:rPr>
                <w:b/>
                <w:color w:val="FFFFFF" w:themeColor="background1"/>
              </w:rPr>
            </w:pPr>
            <w:r w:rsidRPr="00441A43">
              <w:rPr>
                <w:b/>
                <w:color w:val="FFFFFF" w:themeColor="background1"/>
              </w:rPr>
              <w:t xml:space="preserve">SPARCS Description </w:t>
            </w:r>
          </w:p>
        </w:tc>
        <w:tc>
          <w:tcPr>
            <w:tcW w:w="4675" w:type="dxa"/>
            <w:shd w:val="clear" w:color="auto" w:fill="000000" w:themeFill="text1"/>
          </w:tcPr>
          <w:p w14:paraId="0316F1FD" w14:textId="77777777" w:rsidR="00441A43" w:rsidRPr="00441A43" w:rsidRDefault="00441A43" w:rsidP="00441A43">
            <w:pPr>
              <w:rPr>
                <w:b/>
                <w:color w:val="FFFFFF" w:themeColor="background1"/>
              </w:rPr>
            </w:pPr>
            <w:r w:rsidRPr="00441A43">
              <w:rPr>
                <w:b/>
                <w:color w:val="FFFFFF" w:themeColor="background1"/>
              </w:rPr>
              <w:t>HPM 8015 Description</w:t>
            </w:r>
          </w:p>
        </w:tc>
      </w:tr>
      <w:tr w:rsidR="00441A43" w14:paraId="129B75C0" w14:textId="77777777" w:rsidTr="00441A43">
        <w:tc>
          <w:tcPr>
            <w:tcW w:w="4675" w:type="dxa"/>
          </w:tcPr>
          <w:p w14:paraId="2DD67175" w14:textId="77777777" w:rsidR="00441A43" w:rsidRPr="00F3111C" w:rsidRDefault="00441A43" w:rsidP="00441A43">
            <w:r w:rsidRPr="00F3111C">
              <w:t xml:space="preserve">Blue Cross/Blue Shield </w:t>
            </w:r>
          </w:p>
        </w:tc>
        <w:tc>
          <w:tcPr>
            <w:tcW w:w="4675" w:type="dxa"/>
          </w:tcPr>
          <w:p w14:paraId="16CB5C2A" w14:textId="77777777" w:rsidR="00441A43" w:rsidRDefault="00441A43" w:rsidP="00441A43">
            <w:r>
              <w:t>Commercial</w:t>
            </w:r>
          </w:p>
        </w:tc>
      </w:tr>
      <w:tr w:rsidR="00441A43" w14:paraId="4C5F3F14" w14:textId="77777777" w:rsidTr="00441A43">
        <w:tc>
          <w:tcPr>
            <w:tcW w:w="4675" w:type="dxa"/>
          </w:tcPr>
          <w:p w14:paraId="71010CF5" w14:textId="77777777" w:rsidR="00441A43" w:rsidRPr="00F3111C" w:rsidRDefault="00441A43" w:rsidP="00441A43">
            <w:r w:rsidRPr="00F3111C">
              <w:t xml:space="preserve">Department of Corrections </w:t>
            </w:r>
          </w:p>
        </w:tc>
        <w:tc>
          <w:tcPr>
            <w:tcW w:w="4675" w:type="dxa"/>
          </w:tcPr>
          <w:p w14:paraId="505AF469" w14:textId="77777777" w:rsidR="00441A43" w:rsidRDefault="00441A43" w:rsidP="00441A43">
            <w:r>
              <w:t>Other</w:t>
            </w:r>
          </w:p>
        </w:tc>
      </w:tr>
      <w:tr w:rsidR="00441A43" w14:paraId="344F8B63" w14:textId="77777777" w:rsidTr="00441A43">
        <w:tc>
          <w:tcPr>
            <w:tcW w:w="4675" w:type="dxa"/>
          </w:tcPr>
          <w:p w14:paraId="7D03C16C" w14:textId="77777777" w:rsidR="00441A43" w:rsidRPr="00F3111C" w:rsidRDefault="00441A43" w:rsidP="00441A43">
            <w:r w:rsidRPr="00F3111C">
              <w:t xml:space="preserve">Federal/State/Local/VA </w:t>
            </w:r>
          </w:p>
        </w:tc>
        <w:tc>
          <w:tcPr>
            <w:tcW w:w="4675" w:type="dxa"/>
          </w:tcPr>
          <w:p w14:paraId="1420404D" w14:textId="77777777" w:rsidR="00441A43" w:rsidRDefault="00441A43" w:rsidP="00441A43">
            <w:r>
              <w:t>Other</w:t>
            </w:r>
          </w:p>
        </w:tc>
      </w:tr>
      <w:tr w:rsidR="00441A43" w14:paraId="24F7CC90" w14:textId="77777777" w:rsidTr="00441A43">
        <w:tc>
          <w:tcPr>
            <w:tcW w:w="4675" w:type="dxa"/>
          </w:tcPr>
          <w:p w14:paraId="6AA31E64" w14:textId="77777777" w:rsidR="00441A43" w:rsidRPr="00F3111C" w:rsidRDefault="00441A43" w:rsidP="00441A43">
            <w:r w:rsidRPr="00F3111C">
              <w:t xml:space="preserve">Managed Care, Unspecified </w:t>
            </w:r>
          </w:p>
        </w:tc>
        <w:tc>
          <w:tcPr>
            <w:tcW w:w="4675" w:type="dxa"/>
          </w:tcPr>
          <w:p w14:paraId="0ED1E2D5" w14:textId="77777777" w:rsidR="00441A43" w:rsidRDefault="00441A43" w:rsidP="00441A43">
            <w:r>
              <w:t>Commercial</w:t>
            </w:r>
          </w:p>
        </w:tc>
      </w:tr>
      <w:tr w:rsidR="00441A43" w14:paraId="1B565535" w14:textId="77777777" w:rsidTr="00855E89">
        <w:tc>
          <w:tcPr>
            <w:tcW w:w="4675" w:type="dxa"/>
            <w:tcBorders>
              <w:bottom w:val="single" w:sz="4" w:space="0" w:color="auto"/>
            </w:tcBorders>
          </w:tcPr>
          <w:p w14:paraId="516F7938" w14:textId="77777777" w:rsidR="00441A43" w:rsidRPr="00F3111C" w:rsidRDefault="00441A43" w:rsidP="00441A43">
            <w:r w:rsidRPr="00F3111C">
              <w:t xml:space="preserve">Medicaid </w:t>
            </w:r>
          </w:p>
        </w:tc>
        <w:tc>
          <w:tcPr>
            <w:tcW w:w="4675" w:type="dxa"/>
            <w:tcBorders>
              <w:bottom w:val="single" w:sz="4" w:space="0" w:color="auto"/>
            </w:tcBorders>
          </w:tcPr>
          <w:p w14:paraId="3C8A2911" w14:textId="77777777" w:rsidR="00441A43" w:rsidRDefault="00441A43" w:rsidP="00441A43">
            <w:r>
              <w:t>Medicaid</w:t>
            </w:r>
          </w:p>
        </w:tc>
      </w:tr>
      <w:tr w:rsidR="00441A43" w14:paraId="0E4E6E42" w14:textId="77777777" w:rsidTr="00855E89">
        <w:tc>
          <w:tcPr>
            <w:tcW w:w="4675" w:type="dxa"/>
            <w:tcBorders>
              <w:bottom w:val="single" w:sz="4" w:space="0" w:color="auto"/>
            </w:tcBorders>
          </w:tcPr>
          <w:p w14:paraId="5A0F9889" w14:textId="77777777" w:rsidR="00441A43" w:rsidRPr="00F3111C" w:rsidRDefault="00441A43" w:rsidP="00441A43">
            <w:r w:rsidRPr="00F3111C">
              <w:t xml:space="preserve">Medicare </w:t>
            </w:r>
          </w:p>
        </w:tc>
        <w:tc>
          <w:tcPr>
            <w:tcW w:w="4675" w:type="dxa"/>
            <w:tcBorders>
              <w:bottom w:val="single" w:sz="4" w:space="0" w:color="auto"/>
            </w:tcBorders>
          </w:tcPr>
          <w:p w14:paraId="235BA826" w14:textId="77777777" w:rsidR="00441A43" w:rsidRDefault="00441A43" w:rsidP="00441A43">
            <w:r>
              <w:t>Medicare</w:t>
            </w:r>
          </w:p>
        </w:tc>
      </w:tr>
      <w:tr w:rsidR="00441A43" w14:paraId="004DB0CC" w14:textId="77777777" w:rsidTr="00855E89">
        <w:tc>
          <w:tcPr>
            <w:tcW w:w="4675" w:type="dxa"/>
            <w:tcBorders>
              <w:top w:val="single" w:sz="4" w:space="0" w:color="auto"/>
              <w:bottom w:val="single" w:sz="4" w:space="0" w:color="auto"/>
              <w:right w:val="single" w:sz="4" w:space="0" w:color="auto"/>
            </w:tcBorders>
          </w:tcPr>
          <w:p w14:paraId="71E89325" w14:textId="77777777" w:rsidR="00441A43" w:rsidRPr="00F3111C" w:rsidRDefault="00441A43" w:rsidP="00441A43">
            <w:r w:rsidRPr="00F3111C">
              <w:t>Miscellaneous/Other</w:t>
            </w:r>
          </w:p>
        </w:tc>
        <w:tc>
          <w:tcPr>
            <w:tcW w:w="4675" w:type="dxa"/>
            <w:tcBorders>
              <w:top w:val="single" w:sz="4" w:space="0" w:color="auto"/>
              <w:left w:val="single" w:sz="4" w:space="0" w:color="auto"/>
              <w:bottom w:val="single" w:sz="4" w:space="0" w:color="auto"/>
              <w:right w:val="single" w:sz="4" w:space="0" w:color="auto"/>
            </w:tcBorders>
          </w:tcPr>
          <w:p w14:paraId="0261E2FD" w14:textId="77777777" w:rsidR="00441A43" w:rsidRDefault="00441A43" w:rsidP="00441A43">
            <w:r>
              <w:t>Other</w:t>
            </w:r>
          </w:p>
        </w:tc>
      </w:tr>
      <w:tr w:rsidR="00441A43" w14:paraId="3AC6D85D" w14:textId="77777777" w:rsidTr="00855E89">
        <w:tc>
          <w:tcPr>
            <w:tcW w:w="4675" w:type="dxa"/>
            <w:tcBorders>
              <w:top w:val="single" w:sz="4" w:space="0" w:color="auto"/>
              <w:bottom w:val="single" w:sz="4" w:space="0" w:color="auto"/>
              <w:right w:val="single" w:sz="4" w:space="0" w:color="auto"/>
            </w:tcBorders>
          </w:tcPr>
          <w:p w14:paraId="3F842E05" w14:textId="77777777" w:rsidR="00441A43" w:rsidRPr="00F3111C" w:rsidRDefault="00441A43" w:rsidP="00441A43">
            <w:r w:rsidRPr="00F3111C">
              <w:t xml:space="preserve"> Private Health Insurance </w:t>
            </w:r>
          </w:p>
        </w:tc>
        <w:tc>
          <w:tcPr>
            <w:tcW w:w="4675" w:type="dxa"/>
            <w:tcBorders>
              <w:top w:val="single" w:sz="4" w:space="0" w:color="auto"/>
              <w:left w:val="single" w:sz="4" w:space="0" w:color="auto"/>
              <w:bottom w:val="single" w:sz="4" w:space="0" w:color="auto"/>
              <w:right w:val="single" w:sz="4" w:space="0" w:color="auto"/>
            </w:tcBorders>
          </w:tcPr>
          <w:p w14:paraId="4CE65139" w14:textId="77777777" w:rsidR="00441A43" w:rsidRDefault="00441A43" w:rsidP="00441A43">
            <w:r>
              <w:t>Commercial</w:t>
            </w:r>
          </w:p>
        </w:tc>
      </w:tr>
    </w:tbl>
    <w:p w14:paraId="79674DC2" w14:textId="77777777" w:rsidR="00441A43" w:rsidRDefault="00441A43" w:rsidP="00441A43"/>
    <w:p w14:paraId="0B1F13D9" w14:textId="77777777" w:rsidR="00F50493" w:rsidRPr="00DB6A8C" w:rsidRDefault="00F50493" w:rsidP="00441A43">
      <w:pPr>
        <w:rPr>
          <w:i/>
        </w:rPr>
      </w:pPr>
      <w:r w:rsidRPr="00DB6A8C">
        <w:rPr>
          <w:i/>
        </w:rPr>
        <w:t>Note 2: Length of Stay is a “String” variable and must be converted into a numeric variable</w:t>
      </w:r>
    </w:p>
    <w:p w14:paraId="424935C9" w14:textId="77777777" w:rsidR="00F50493" w:rsidRPr="00DB6A8C" w:rsidRDefault="00F50493" w:rsidP="00441A43">
      <w:pPr>
        <w:rPr>
          <w:i/>
        </w:rPr>
      </w:pPr>
      <w:r w:rsidRPr="00DB6A8C">
        <w:rPr>
          <w:i/>
        </w:rPr>
        <w:t xml:space="preserve">The code for this is </w:t>
      </w:r>
    </w:p>
    <w:p w14:paraId="0DA14494" w14:textId="77777777" w:rsidR="00F50493" w:rsidRPr="007E1AEC" w:rsidRDefault="00F50493" w:rsidP="007E1AEC">
      <w:pPr>
        <w:jc w:val="center"/>
        <w:rPr>
          <w:b/>
        </w:rPr>
      </w:pPr>
      <w:r w:rsidRPr="007E1AEC">
        <w:rPr>
          <w:b/>
        </w:rPr>
        <w:t xml:space="preserve">destring </w:t>
      </w:r>
      <w:proofErr w:type="spellStart"/>
      <w:r w:rsidRPr="007E1AEC">
        <w:rPr>
          <w:b/>
        </w:rPr>
        <w:t>lengthofstay</w:t>
      </w:r>
      <w:proofErr w:type="spellEnd"/>
      <w:r w:rsidRPr="007E1AEC">
        <w:rPr>
          <w:b/>
        </w:rPr>
        <w:t>, replace force</w:t>
      </w:r>
    </w:p>
    <w:p w14:paraId="7ED08C19" w14:textId="77777777" w:rsidR="00254C38" w:rsidRDefault="00254C38" w:rsidP="00441A43">
      <w:pPr>
        <w:pStyle w:val="ListParagraph"/>
        <w:rPr>
          <w:color w:val="FF0000"/>
        </w:rPr>
      </w:pPr>
    </w:p>
    <w:p w14:paraId="219B8CFA" w14:textId="77777777" w:rsidR="00F30008" w:rsidRDefault="006C7CFC" w:rsidP="00DB6A8C">
      <w:pPr>
        <w:pStyle w:val="ListParagraph"/>
        <w:numPr>
          <w:ilvl w:val="0"/>
          <w:numId w:val="3"/>
        </w:numPr>
      </w:pPr>
      <w:r w:rsidRPr="005A0946">
        <w:t>What are the license n</w:t>
      </w:r>
      <w:r w:rsidR="00DB6A8C">
        <w:t xml:space="preserve">umbers for the top 3 physicians (attending physicians) </w:t>
      </w:r>
      <w:r w:rsidRPr="005A0946">
        <w:t>delivering newborns in Westchester hospitals in 2016?</w:t>
      </w:r>
      <w:r w:rsidR="00F30008">
        <w:t xml:space="preserve"> </w:t>
      </w:r>
      <w:r w:rsidR="0055603E">
        <w:t>(Hint: There is a shortcut to figuring out who is a newborn…read the data codebook!)</w:t>
      </w:r>
    </w:p>
    <w:p w14:paraId="677C09E4" w14:textId="77777777" w:rsidR="00DB6A8C" w:rsidRPr="00DB6A8C" w:rsidRDefault="00DB6A8C" w:rsidP="00DB6A8C">
      <w:pPr>
        <w:pStyle w:val="ListParagraph"/>
      </w:pPr>
    </w:p>
    <w:p w14:paraId="1C945D13" w14:textId="77777777" w:rsidR="006C7CFC" w:rsidRDefault="006C7CFC" w:rsidP="00254C38">
      <w:pPr>
        <w:pStyle w:val="ListParagraph"/>
        <w:numPr>
          <w:ilvl w:val="0"/>
          <w:numId w:val="3"/>
        </w:numPr>
      </w:pPr>
      <w:r w:rsidRPr="005A0946">
        <w:t>What w</w:t>
      </w:r>
      <w:r w:rsidR="0055603E">
        <w:t xml:space="preserve">ere the average total costs </w:t>
      </w:r>
      <w:r w:rsidR="005075A7">
        <w:t>of the</w:t>
      </w:r>
      <w:r w:rsidRPr="005A0946">
        <w:t xml:space="preserve"> deliveries</w:t>
      </w:r>
      <w:r w:rsidR="005075A7">
        <w:t xml:space="preserve"> with those three physicians by facility?  </w:t>
      </w:r>
    </w:p>
    <w:p w14:paraId="02C3754D" w14:textId="77777777" w:rsidR="00BE6095" w:rsidRDefault="00BE6095" w:rsidP="00BE6095">
      <w:r>
        <w:t>You will need to use the code below because for some reason the “cost” data is recorded as a string (meaning STATA reads it as a word not a number)</w:t>
      </w:r>
    </w:p>
    <w:p w14:paraId="1F77C4D2" w14:textId="77777777" w:rsidR="00BE6095" w:rsidRDefault="00BE6095" w:rsidP="00174B04">
      <w:pPr>
        <w:spacing w:after="0"/>
        <w:jc w:val="center"/>
      </w:pPr>
      <w:r>
        <w:t>*First line of code eliminates the decimal point</w:t>
      </w:r>
    </w:p>
    <w:p w14:paraId="50C66875" w14:textId="77777777" w:rsidR="00BE6095" w:rsidRPr="00174B04" w:rsidRDefault="00BE6095" w:rsidP="00174B04">
      <w:pPr>
        <w:spacing w:after="0"/>
        <w:jc w:val="center"/>
        <w:rPr>
          <w:b/>
        </w:rPr>
      </w:pPr>
      <w:r w:rsidRPr="00174B04">
        <w:rPr>
          <w:b/>
        </w:rPr>
        <w:t xml:space="preserve">replace </w:t>
      </w:r>
      <w:proofErr w:type="spellStart"/>
      <w:r w:rsidRPr="00174B04">
        <w:rPr>
          <w:b/>
        </w:rPr>
        <w:t>totalcosts</w:t>
      </w:r>
      <w:proofErr w:type="spellEnd"/>
      <w:r w:rsidRPr="00174B04">
        <w:rPr>
          <w:b/>
        </w:rPr>
        <w:t>=</w:t>
      </w:r>
      <w:proofErr w:type="spellStart"/>
      <w:r w:rsidRPr="00174B04">
        <w:rPr>
          <w:b/>
        </w:rPr>
        <w:t>subinstr</w:t>
      </w:r>
      <w:proofErr w:type="spellEnd"/>
      <w:r w:rsidRPr="00174B04">
        <w:rPr>
          <w:b/>
        </w:rPr>
        <w:t>(</w:t>
      </w:r>
      <w:proofErr w:type="spellStart"/>
      <w:proofErr w:type="gramStart"/>
      <w:r w:rsidRPr="00174B04">
        <w:rPr>
          <w:b/>
        </w:rPr>
        <w:t>totalcosts</w:t>
      </w:r>
      <w:proofErr w:type="spellEnd"/>
      <w:r w:rsidRPr="00174B04">
        <w:rPr>
          <w:b/>
        </w:rPr>
        <w:t>,"."</w:t>
      </w:r>
      <w:proofErr w:type="gramEnd"/>
      <w:r w:rsidRPr="00174B04">
        <w:rPr>
          <w:b/>
        </w:rPr>
        <w:t>,"",.)</w:t>
      </w:r>
    </w:p>
    <w:p w14:paraId="66A23BE0" w14:textId="77777777" w:rsidR="00DB6A8C" w:rsidRDefault="00DB6A8C" w:rsidP="00174B04">
      <w:pPr>
        <w:spacing w:after="0"/>
        <w:jc w:val="center"/>
      </w:pPr>
    </w:p>
    <w:p w14:paraId="78DFE560" w14:textId="77777777" w:rsidR="00BE6095" w:rsidRDefault="00BE6095" w:rsidP="00174B04">
      <w:pPr>
        <w:spacing w:after="0"/>
        <w:jc w:val="center"/>
      </w:pPr>
      <w:r>
        <w:t>*Second line of code eliminates the “comma”</w:t>
      </w:r>
    </w:p>
    <w:p w14:paraId="406F8E62" w14:textId="77777777" w:rsidR="00BE6095" w:rsidRPr="00174B04" w:rsidRDefault="00BE6095" w:rsidP="00174B04">
      <w:pPr>
        <w:spacing w:after="0"/>
        <w:jc w:val="center"/>
        <w:rPr>
          <w:b/>
        </w:rPr>
      </w:pPr>
      <w:r w:rsidRPr="00174B04">
        <w:rPr>
          <w:b/>
        </w:rPr>
        <w:t xml:space="preserve">replace </w:t>
      </w:r>
      <w:proofErr w:type="spellStart"/>
      <w:r w:rsidRPr="00174B04">
        <w:rPr>
          <w:b/>
        </w:rPr>
        <w:t>totalcosts</w:t>
      </w:r>
      <w:proofErr w:type="spellEnd"/>
      <w:r w:rsidRPr="00174B04">
        <w:rPr>
          <w:b/>
        </w:rPr>
        <w:t>=</w:t>
      </w:r>
      <w:proofErr w:type="spellStart"/>
      <w:r w:rsidRPr="00174B04">
        <w:rPr>
          <w:b/>
        </w:rPr>
        <w:t>subinstr</w:t>
      </w:r>
      <w:proofErr w:type="spellEnd"/>
      <w:r w:rsidRPr="00174B04">
        <w:rPr>
          <w:b/>
        </w:rPr>
        <w:t>(</w:t>
      </w:r>
      <w:proofErr w:type="spellStart"/>
      <w:r w:rsidRPr="00174B04">
        <w:rPr>
          <w:b/>
        </w:rPr>
        <w:t>totalcosts</w:t>
      </w:r>
      <w:proofErr w:type="spellEnd"/>
      <w:r w:rsidRPr="00174B04">
        <w:rPr>
          <w:b/>
        </w:rPr>
        <w:t>,",","</w:t>
      </w:r>
      <w:proofErr w:type="gramStart"/>
      <w:r w:rsidRPr="00174B04">
        <w:rPr>
          <w:b/>
        </w:rPr>
        <w:t>",.</w:t>
      </w:r>
      <w:proofErr w:type="gramEnd"/>
      <w:r w:rsidRPr="00174B04">
        <w:rPr>
          <w:b/>
        </w:rPr>
        <w:t>)</w:t>
      </w:r>
    </w:p>
    <w:p w14:paraId="12B61ED8" w14:textId="77777777" w:rsidR="00DB6A8C" w:rsidRDefault="00DB6A8C" w:rsidP="00174B04">
      <w:pPr>
        <w:spacing w:after="0" w:line="240" w:lineRule="auto"/>
        <w:jc w:val="center"/>
      </w:pPr>
    </w:p>
    <w:p w14:paraId="6FCA04C1" w14:textId="77777777" w:rsidR="00BE6095" w:rsidRDefault="00BE6095" w:rsidP="00174B04">
      <w:pPr>
        <w:spacing w:after="0" w:line="240" w:lineRule="auto"/>
        <w:jc w:val="center"/>
      </w:pPr>
      <w:r>
        <w:t>*Third line of code changes the “string” to a numeric variable so we can add/subtract/multiply</w:t>
      </w:r>
      <w:r w:rsidR="00174B04">
        <w:t xml:space="preserve"> and the second line </w:t>
      </w:r>
    </w:p>
    <w:p w14:paraId="34255A79" w14:textId="77777777" w:rsidR="00BE6095" w:rsidRDefault="00BE6095" w:rsidP="00174B04">
      <w:pPr>
        <w:spacing w:after="0" w:line="240" w:lineRule="auto"/>
        <w:jc w:val="center"/>
        <w:rPr>
          <w:b/>
        </w:rPr>
      </w:pPr>
      <w:r w:rsidRPr="00174B04">
        <w:rPr>
          <w:b/>
        </w:rPr>
        <w:t xml:space="preserve">destring </w:t>
      </w:r>
      <w:proofErr w:type="spellStart"/>
      <w:r w:rsidRPr="00174B04">
        <w:rPr>
          <w:b/>
        </w:rPr>
        <w:t>totalcosts</w:t>
      </w:r>
      <w:proofErr w:type="spellEnd"/>
      <w:r w:rsidRPr="00174B04">
        <w:rPr>
          <w:b/>
        </w:rPr>
        <w:t>, replace force</w:t>
      </w:r>
    </w:p>
    <w:p w14:paraId="180C9F43" w14:textId="77777777" w:rsidR="00FD1B11" w:rsidRPr="00FD1B11" w:rsidRDefault="00FD1B11" w:rsidP="00174B04">
      <w:pPr>
        <w:spacing w:after="0" w:line="240" w:lineRule="auto"/>
        <w:jc w:val="center"/>
      </w:pPr>
      <w:r w:rsidRPr="00FD1B11">
        <w:t>Fourth line of code divides by 100 since we eliminated the decimal point.</w:t>
      </w:r>
    </w:p>
    <w:p w14:paraId="374695DF" w14:textId="77777777" w:rsidR="003E0BEC" w:rsidRPr="00174B04" w:rsidRDefault="003E0BEC" w:rsidP="00174B04">
      <w:pPr>
        <w:spacing w:after="0" w:line="240" w:lineRule="auto"/>
        <w:jc w:val="center"/>
        <w:rPr>
          <w:b/>
        </w:rPr>
      </w:pPr>
      <w:r w:rsidRPr="00174B04">
        <w:rPr>
          <w:b/>
        </w:rPr>
        <w:t xml:space="preserve">replace </w:t>
      </w:r>
      <w:proofErr w:type="spellStart"/>
      <w:r w:rsidRPr="00174B04">
        <w:rPr>
          <w:b/>
        </w:rPr>
        <w:t>totalcosts</w:t>
      </w:r>
      <w:proofErr w:type="spellEnd"/>
      <w:r w:rsidRPr="00174B04">
        <w:rPr>
          <w:b/>
        </w:rPr>
        <w:t>=</w:t>
      </w:r>
      <w:proofErr w:type="spellStart"/>
      <w:r w:rsidRPr="00174B04">
        <w:rPr>
          <w:b/>
        </w:rPr>
        <w:t>totalcosts</w:t>
      </w:r>
      <w:proofErr w:type="spellEnd"/>
      <w:r w:rsidRPr="00174B04">
        <w:rPr>
          <w:b/>
        </w:rPr>
        <w:t>/100</w:t>
      </w:r>
    </w:p>
    <w:p w14:paraId="29F05F42" w14:textId="77777777" w:rsidR="005075A7" w:rsidRPr="005A0946" w:rsidRDefault="005075A7" w:rsidP="005075A7">
      <w:pPr>
        <w:pStyle w:val="ListParagraph"/>
      </w:pPr>
    </w:p>
    <w:p w14:paraId="05833940" w14:textId="51D8E046" w:rsidR="002A5A8F" w:rsidRDefault="002A5A8F" w:rsidP="00254C38">
      <w:pPr>
        <w:pStyle w:val="ListParagraph"/>
        <w:numPr>
          <w:ilvl w:val="0"/>
          <w:numId w:val="3"/>
        </w:numPr>
      </w:pPr>
      <w:r>
        <w:t xml:space="preserve">What are the </w:t>
      </w:r>
      <w:r w:rsidR="00FD1B11">
        <w:t xml:space="preserve">average </w:t>
      </w:r>
      <w:r>
        <w:t xml:space="preserve">costs for newborns by hospital?  Which </w:t>
      </w:r>
      <w:r w:rsidR="00DB6A8C">
        <w:t xml:space="preserve">hospital </w:t>
      </w:r>
      <w:r>
        <w:t>is the outlier?  Why</w:t>
      </w:r>
      <w:r w:rsidR="0050539A">
        <w:t xml:space="preserve"> do you think that is</w:t>
      </w:r>
      <w:r>
        <w:t>?  What portion were over $100,000 and what portion were over $1,000,000</w:t>
      </w:r>
      <w:r w:rsidR="00D95E4C">
        <w:t>?</w:t>
      </w:r>
      <w:bookmarkStart w:id="0" w:name="_GoBack"/>
      <w:bookmarkEnd w:id="0"/>
    </w:p>
    <w:p w14:paraId="163810AA" w14:textId="77777777" w:rsidR="00DB6A8C" w:rsidRDefault="00DB6A8C" w:rsidP="00DB6A8C">
      <w:pPr>
        <w:pStyle w:val="ListParagraph"/>
      </w:pPr>
    </w:p>
    <w:p w14:paraId="7FE3F703" w14:textId="77777777" w:rsidR="00811F10" w:rsidRPr="007A67D2" w:rsidRDefault="00811F10" w:rsidP="00EF1ACC">
      <w:pPr>
        <w:pStyle w:val="ListParagraph"/>
        <w:numPr>
          <w:ilvl w:val="0"/>
          <w:numId w:val="3"/>
        </w:numPr>
      </w:pPr>
      <w:r w:rsidRPr="005A0946">
        <w:t>Tell me something I didn’t know about t</w:t>
      </w:r>
      <w:r w:rsidR="007A67D2">
        <w:t>he data and why it is important.</w:t>
      </w:r>
    </w:p>
    <w:sectPr w:rsidR="00811F10" w:rsidRPr="007A67D2" w:rsidSect="00341A30">
      <w:footerReference w:type="default" r:id="rId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7919C" w14:textId="77777777" w:rsidR="005E5009" w:rsidRDefault="005E5009" w:rsidP="00365B3D">
      <w:pPr>
        <w:spacing w:after="0" w:line="240" w:lineRule="auto"/>
      </w:pPr>
      <w:r>
        <w:separator/>
      </w:r>
    </w:p>
  </w:endnote>
  <w:endnote w:type="continuationSeparator" w:id="0">
    <w:p w14:paraId="5631C3C4" w14:textId="77777777" w:rsidR="005E5009" w:rsidRDefault="005E5009" w:rsidP="00365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A63D7" w14:textId="77777777" w:rsidR="00365B3D" w:rsidRPr="00365B3D" w:rsidRDefault="00365B3D">
    <w:pPr>
      <w:pStyle w:val="Footer"/>
      <w:rPr>
        <w:color w:val="FF0000"/>
      </w:rPr>
    </w:pPr>
    <w:r w:rsidRPr="00365B3D">
      <w:rPr>
        <w:noProof/>
        <w:color w:val="FF0000"/>
        <w:highlight w:val="red"/>
      </w:rPr>
      <mc:AlternateContent>
        <mc:Choice Requires="wps">
          <w:drawing>
            <wp:anchor distT="0" distB="0" distL="114300" distR="114300" simplePos="0" relativeHeight="251659264" behindDoc="0" locked="0" layoutInCell="1" allowOverlap="1" wp14:anchorId="524C981B" wp14:editId="5F741567">
              <wp:simplePos x="0" y="0"/>
              <wp:positionH relativeFrom="column">
                <wp:posOffset>-409575</wp:posOffset>
              </wp:positionH>
              <wp:positionV relativeFrom="paragraph">
                <wp:posOffset>83820</wp:posOffset>
              </wp:positionV>
              <wp:extent cx="6924675" cy="38100"/>
              <wp:effectExtent l="0" t="0" r="28575" b="19050"/>
              <wp:wrapNone/>
              <wp:docPr id="5" name="Straight Connector 5"/>
              <wp:cNvGraphicFramePr/>
              <a:graphic xmlns:a="http://schemas.openxmlformats.org/drawingml/2006/main">
                <a:graphicData uri="http://schemas.microsoft.com/office/word/2010/wordprocessingShape">
                  <wps:wsp>
                    <wps:cNvCnPr/>
                    <wps:spPr>
                      <a:xfrm flipV="1">
                        <a:off x="0" y="0"/>
                        <a:ext cx="6924675" cy="3810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5A5D89" id="Straight Connector 5"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5pt,6.6pt" to="513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" strokecolor="red" strokeweight=".5pt">
              <v:stroke joinstyle="miter"/>
            </v:line>
          </w:pict>
        </mc:Fallback>
      </mc:AlternateContent>
    </w:r>
  </w:p>
  <w:p w14:paraId="7C14EB58" w14:textId="736351FC" w:rsidR="00365B3D" w:rsidRDefault="00365B3D" w:rsidP="00A8438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15972" w14:textId="77777777" w:rsidR="005E5009" w:rsidRDefault="005E5009" w:rsidP="00365B3D">
      <w:pPr>
        <w:spacing w:after="0" w:line="240" w:lineRule="auto"/>
      </w:pPr>
      <w:r>
        <w:separator/>
      </w:r>
    </w:p>
  </w:footnote>
  <w:footnote w:type="continuationSeparator" w:id="0">
    <w:p w14:paraId="3EA2F382" w14:textId="77777777" w:rsidR="005E5009" w:rsidRDefault="005E5009" w:rsidP="00365B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13D3D"/>
    <w:multiLevelType w:val="hybridMultilevel"/>
    <w:tmpl w:val="1E2AB34A"/>
    <w:lvl w:ilvl="0" w:tplc="AA306A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C92372"/>
    <w:multiLevelType w:val="hybridMultilevel"/>
    <w:tmpl w:val="F9F612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8963D6"/>
    <w:multiLevelType w:val="hybridMultilevel"/>
    <w:tmpl w:val="46685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220337"/>
    <w:multiLevelType w:val="hybridMultilevel"/>
    <w:tmpl w:val="21A66A0A"/>
    <w:lvl w:ilvl="0" w:tplc="C37E5988">
      <w:start w:val="1"/>
      <w:numFmt w:val="upperRoman"/>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DD0"/>
    <w:rsid w:val="00050CE3"/>
    <w:rsid w:val="000632F6"/>
    <w:rsid w:val="00174B04"/>
    <w:rsid w:val="001778D8"/>
    <w:rsid w:val="001D0EEB"/>
    <w:rsid w:val="00232A20"/>
    <w:rsid w:val="00254C38"/>
    <w:rsid w:val="002740D1"/>
    <w:rsid w:val="002749BD"/>
    <w:rsid w:val="002868CC"/>
    <w:rsid w:val="002A5A8F"/>
    <w:rsid w:val="00330DD0"/>
    <w:rsid w:val="00341A30"/>
    <w:rsid w:val="00355C1A"/>
    <w:rsid w:val="00357A3E"/>
    <w:rsid w:val="00365B3D"/>
    <w:rsid w:val="003C5D7C"/>
    <w:rsid w:val="003E0BEC"/>
    <w:rsid w:val="003F4F32"/>
    <w:rsid w:val="004112FE"/>
    <w:rsid w:val="00431C86"/>
    <w:rsid w:val="00441A43"/>
    <w:rsid w:val="0050539A"/>
    <w:rsid w:val="005075A7"/>
    <w:rsid w:val="00542880"/>
    <w:rsid w:val="0055603E"/>
    <w:rsid w:val="005621D7"/>
    <w:rsid w:val="00564AC1"/>
    <w:rsid w:val="005A0946"/>
    <w:rsid w:val="005E5009"/>
    <w:rsid w:val="00613B98"/>
    <w:rsid w:val="006173AC"/>
    <w:rsid w:val="006A47CE"/>
    <w:rsid w:val="006C7CFC"/>
    <w:rsid w:val="006F0D39"/>
    <w:rsid w:val="0072031C"/>
    <w:rsid w:val="00721BA2"/>
    <w:rsid w:val="007401B5"/>
    <w:rsid w:val="007561E4"/>
    <w:rsid w:val="007562A8"/>
    <w:rsid w:val="00767156"/>
    <w:rsid w:val="007A67D2"/>
    <w:rsid w:val="007B71A7"/>
    <w:rsid w:val="007B75BD"/>
    <w:rsid w:val="007D76C8"/>
    <w:rsid w:val="007E1AEC"/>
    <w:rsid w:val="00811F10"/>
    <w:rsid w:val="00855E89"/>
    <w:rsid w:val="008713BF"/>
    <w:rsid w:val="008E7E15"/>
    <w:rsid w:val="00972268"/>
    <w:rsid w:val="00994F9A"/>
    <w:rsid w:val="009E2A96"/>
    <w:rsid w:val="00A06F28"/>
    <w:rsid w:val="00A8438D"/>
    <w:rsid w:val="00AD6F50"/>
    <w:rsid w:val="00B5724D"/>
    <w:rsid w:val="00BC47DF"/>
    <w:rsid w:val="00BE6095"/>
    <w:rsid w:val="00C26176"/>
    <w:rsid w:val="00C37CED"/>
    <w:rsid w:val="00C526F3"/>
    <w:rsid w:val="00C53A91"/>
    <w:rsid w:val="00D365FA"/>
    <w:rsid w:val="00D440D1"/>
    <w:rsid w:val="00D85C8B"/>
    <w:rsid w:val="00D95E4C"/>
    <w:rsid w:val="00DB6A8C"/>
    <w:rsid w:val="00E26898"/>
    <w:rsid w:val="00E44686"/>
    <w:rsid w:val="00E82B89"/>
    <w:rsid w:val="00E93031"/>
    <w:rsid w:val="00ED6584"/>
    <w:rsid w:val="00EF1ACC"/>
    <w:rsid w:val="00F1084E"/>
    <w:rsid w:val="00F30008"/>
    <w:rsid w:val="00F50493"/>
    <w:rsid w:val="00FC32DB"/>
    <w:rsid w:val="00FD1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BE23C"/>
  <w15:chartTrackingRefBased/>
  <w15:docId w15:val="{041153F7-7804-4869-871C-59898D09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B3D"/>
  </w:style>
  <w:style w:type="paragraph" w:styleId="Footer">
    <w:name w:val="footer"/>
    <w:basedOn w:val="Normal"/>
    <w:link w:val="FooterChar"/>
    <w:uiPriority w:val="99"/>
    <w:unhideWhenUsed/>
    <w:rsid w:val="00365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B3D"/>
  </w:style>
  <w:style w:type="character" w:styleId="Hyperlink">
    <w:name w:val="Hyperlink"/>
    <w:basedOn w:val="DefaultParagraphFont"/>
    <w:uiPriority w:val="99"/>
    <w:unhideWhenUsed/>
    <w:rsid w:val="00365B3D"/>
    <w:rPr>
      <w:color w:val="0563C1" w:themeColor="hyperlink"/>
      <w:u w:val="single"/>
    </w:rPr>
  </w:style>
  <w:style w:type="paragraph" w:styleId="ListParagraph">
    <w:name w:val="List Paragraph"/>
    <w:basedOn w:val="Normal"/>
    <w:uiPriority w:val="34"/>
    <w:qFormat/>
    <w:rsid w:val="002868CC"/>
    <w:pPr>
      <w:ind w:left="720"/>
      <w:contextualSpacing/>
    </w:pPr>
  </w:style>
  <w:style w:type="table" w:styleId="TableGrid">
    <w:name w:val="Table Grid"/>
    <w:basedOn w:val="TableNormal"/>
    <w:uiPriority w:val="39"/>
    <w:rsid w:val="0044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23888">
      <w:bodyDiv w:val="1"/>
      <w:marLeft w:val="0"/>
      <w:marRight w:val="0"/>
      <w:marTop w:val="0"/>
      <w:marBottom w:val="0"/>
      <w:divBdr>
        <w:top w:val="none" w:sz="0" w:space="0" w:color="auto"/>
        <w:left w:val="none" w:sz="0" w:space="0" w:color="auto"/>
        <w:bottom w:val="none" w:sz="0" w:space="0" w:color="auto"/>
        <w:right w:val="none" w:sz="0" w:space="0" w:color="auto"/>
      </w:divBdr>
    </w:div>
    <w:div w:id="1346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2468</Characters>
  <Application>Microsoft Office Word</Application>
  <DocSecurity>0</DocSecurity>
  <Lines>41</Lines>
  <Paragraphs>14</Paragraphs>
  <ScaleCrop>false</ScaleCrop>
  <HeadingPairs>
    <vt:vector size="2" baseType="variant">
      <vt:variant>
        <vt:lpstr>Title</vt:lpstr>
      </vt:variant>
      <vt:variant>
        <vt:i4>1</vt:i4>
      </vt:variant>
    </vt:vector>
  </HeadingPairs>
  <TitlesOfParts>
    <vt:vector size="1" baseType="lpstr">
      <vt:lpstr/>
    </vt:vector>
  </TitlesOfParts>
  <Company>NYMC</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Kittleson, Mark J</dc:creator>
  <cp:keywords/>
  <dc:description/>
  <cp:lastModifiedBy>AlSabah, AlJawhara M.</cp:lastModifiedBy>
  <cp:revision>2</cp:revision>
  <cp:lastPrinted>2017-11-30T14:55:00Z</cp:lastPrinted>
  <dcterms:created xsi:type="dcterms:W3CDTF">2020-03-31T19:45:00Z</dcterms:created>
  <dcterms:modified xsi:type="dcterms:W3CDTF">2020-03-31T19:45:00Z</dcterms:modified>
</cp:coreProperties>
</file>