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FCBA2" w14:textId="6B9BE65D" w:rsidR="00F6505F" w:rsidRDefault="009A246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Profitability Ratios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3681"/>
        <w:gridCol w:w="1134"/>
        <w:gridCol w:w="1134"/>
        <w:gridCol w:w="1134"/>
        <w:gridCol w:w="1276"/>
        <w:gridCol w:w="1275"/>
      </w:tblGrid>
      <w:tr w:rsidR="009A2468" w14:paraId="011007CD" w14:textId="77777777" w:rsidTr="009A2468">
        <w:tc>
          <w:tcPr>
            <w:tcW w:w="3681" w:type="dxa"/>
          </w:tcPr>
          <w:p w14:paraId="148603AC" w14:textId="5745FC93" w:rsidR="009A2468" w:rsidRDefault="009A2468" w:rsidP="009A24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Ratio</w:t>
            </w:r>
          </w:p>
        </w:tc>
        <w:tc>
          <w:tcPr>
            <w:tcW w:w="1134" w:type="dxa"/>
          </w:tcPr>
          <w:p w14:paraId="74478D5C" w14:textId="19A1C5BD" w:rsidR="009A2468" w:rsidRDefault="009A2468" w:rsidP="009A24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134" w:type="dxa"/>
          </w:tcPr>
          <w:p w14:paraId="7807053E" w14:textId="092BFA6C" w:rsidR="009A2468" w:rsidRDefault="009A2468" w:rsidP="009A24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134" w:type="dxa"/>
          </w:tcPr>
          <w:p w14:paraId="4061216C" w14:textId="3AC252D3" w:rsidR="009A2468" w:rsidRDefault="009A2468" w:rsidP="009A24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276" w:type="dxa"/>
          </w:tcPr>
          <w:p w14:paraId="694BF67C" w14:textId="385EA7DC" w:rsidR="009A2468" w:rsidRDefault="009A2468" w:rsidP="009A24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275" w:type="dxa"/>
          </w:tcPr>
          <w:p w14:paraId="223BF37A" w14:textId="5E672706" w:rsidR="009A2468" w:rsidRDefault="009A2468" w:rsidP="009A24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9A2468" w14:paraId="37D7D7CB" w14:textId="77777777" w:rsidTr="009A2468">
        <w:tc>
          <w:tcPr>
            <w:tcW w:w="3681" w:type="dxa"/>
          </w:tcPr>
          <w:p w14:paraId="5F07EC75" w14:textId="644CCE39" w:rsidR="009A2468" w:rsidRDefault="009A2468" w:rsidP="009A24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Gross Profit Margin</w:t>
            </w:r>
          </w:p>
        </w:tc>
        <w:tc>
          <w:tcPr>
            <w:tcW w:w="1134" w:type="dxa"/>
          </w:tcPr>
          <w:p w14:paraId="4E072C0E" w14:textId="38290BC2" w:rsidR="009A2468" w:rsidRDefault="003658BA" w:rsidP="009A24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41.53%</w:t>
            </w:r>
          </w:p>
        </w:tc>
        <w:tc>
          <w:tcPr>
            <w:tcW w:w="1134" w:type="dxa"/>
          </w:tcPr>
          <w:p w14:paraId="0431FB71" w14:textId="2C9E0192" w:rsidR="009A2468" w:rsidRDefault="009A2468" w:rsidP="009A24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27.10%</w:t>
            </w:r>
          </w:p>
        </w:tc>
        <w:tc>
          <w:tcPr>
            <w:tcW w:w="1134" w:type="dxa"/>
          </w:tcPr>
          <w:p w14:paraId="0C87D62D" w14:textId="4ABDDF49" w:rsidR="009A2468" w:rsidRDefault="009A2468" w:rsidP="009A24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27.52%</w:t>
            </w:r>
          </w:p>
        </w:tc>
        <w:tc>
          <w:tcPr>
            <w:tcW w:w="1276" w:type="dxa"/>
          </w:tcPr>
          <w:p w14:paraId="523031B2" w14:textId="4EC55D5B" w:rsidR="009A2468" w:rsidRDefault="00385ABF" w:rsidP="009A24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52.60%</w:t>
            </w:r>
          </w:p>
        </w:tc>
        <w:tc>
          <w:tcPr>
            <w:tcW w:w="1275" w:type="dxa"/>
          </w:tcPr>
          <w:p w14:paraId="1DEF6018" w14:textId="2AA61DE4" w:rsidR="009A2468" w:rsidRDefault="00385ABF" w:rsidP="009A24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36.92%</w:t>
            </w:r>
          </w:p>
        </w:tc>
      </w:tr>
      <w:tr w:rsidR="009A2468" w14:paraId="06AA3362" w14:textId="77777777" w:rsidTr="009A2468">
        <w:tc>
          <w:tcPr>
            <w:tcW w:w="3681" w:type="dxa"/>
          </w:tcPr>
          <w:p w14:paraId="6E7E472F" w14:textId="776960D9" w:rsidR="009A2468" w:rsidRDefault="009A2468" w:rsidP="009A24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Operating Profit Margin</w:t>
            </w:r>
          </w:p>
        </w:tc>
        <w:tc>
          <w:tcPr>
            <w:tcW w:w="1134" w:type="dxa"/>
          </w:tcPr>
          <w:p w14:paraId="7D7DCF01" w14:textId="53A9F189" w:rsidR="009A2468" w:rsidRDefault="003658BA" w:rsidP="009A24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63.43%</w:t>
            </w:r>
          </w:p>
        </w:tc>
        <w:tc>
          <w:tcPr>
            <w:tcW w:w="1134" w:type="dxa"/>
          </w:tcPr>
          <w:p w14:paraId="5E7B6028" w14:textId="48E53CBF" w:rsidR="009A2468" w:rsidRDefault="009A2468" w:rsidP="009A24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33.28%</w:t>
            </w:r>
          </w:p>
        </w:tc>
        <w:tc>
          <w:tcPr>
            <w:tcW w:w="1134" w:type="dxa"/>
          </w:tcPr>
          <w:p w14:paraId="3E24D60B" w14:textId="420113A4" w:rsidR="009A2468" w:rsidRDefault="009A2468" w:rsidP="009A24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29.70%</w:t>
            </w:r>
          </w:p>
        </w:tc>
        <w:tc>
          <w:tcPr>
            <w:tcW w:w="1276" w:type="dxa"/>
          </w:tcPr>
          <w:p w14:paraId="263432F9" w14:textId="30749900" w:rsidR="009A2468" w:rsidRDefault="00385ABF" w:rsidP="009A24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56.72%</w:t>
            </w:r>
          </w:p>
        </w:tc>
        <w:tc>
          <w:tcPr>
            <w:tcW w:w="1275" w:type="dxa"/>
          </w:tcPr>
          <w:p w14:paraId="3B943F2B" w14:textId="6ED9C976" w:rsidR="009A2468" w:rsidRDefault="00385ABF" w:rsidP="009A24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45%</w:t>
            </w:r>
          </w:p>
        </w:tc>
      </w:tr>
      <w:tr w:rsidR="009A2468" w14:paraId="4B0DF647" w14:textId="77777777" w:rsidTr="009A2468">
        <w:tc>
          <w:tcPr>
            <w:tcW w:w="3681" w:type="dxa"/>
          </w:tcPr>
          <w:p w14:paraId="4A81E7E7" w14:textId="62193399" w:rsidR="009A2468" w:rsidRDefault="009A2468" w:rsidP="009A24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Net Profit Margin</w:t>
            </w:r>
          </w:p>
        </w:tc>
        <w:tc>
          <w:tcPr>
            <w:tcW w:w="1134" w:type="dxa"/>
          </w:tcPr>
          <w:p w14:paraId="74AA76AF" w14:textId="278D88FA" w:rsidR="009A2468" w:rsidRDefault="003658BA" w:rsidP="009A24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51.12%</w:t>
            </w:r>
          </w:p>
        </w:tc>
        <w:tc>
          <w:tcPr>
            <w:tcW w:w="1134" w:type="dxa"/>
          </w:tcPr>
          <w:p w14:paraId="4A981BBF" w14:textId="08297B0C" w:rsidR="009A2468" w:rsidRDefault="009A2468" w:rsidP="009A24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19.09%</w:t>
            </w:r>
          </w:p>
        </w:tc>
        <w:tc>
          <w:tcPr>
            <w:tcW w:w="1134" w:type="dxa"/>
          </w:tcPr>
          <w:p w14:paraId="486D581C" w14:textId="0A5C2FB8" w:rsidR="009A2468" w:rsidRDefault="009A2468" w:rsidP="009A24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23.44%</w:t>
            </w:r>
          </w:p>
        </w:tc>
        <w:tc>
          <w:tcPr>
            <w:tcW w:w="1276" w:type="dxa"/>
          </w:tcPr>
          <w:p w14:paraId="25DA0F54" w14:textId="6F7CC897" w:rsidR="009A2468" w:rsidRDefault="00385ABF" w:rsidP="009A24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50.76%</w:t>
            </w:r>
          </w:p>
        </w:tc>
        <w:tc>
          <w:tcPr>
            <w:tcW w:w="1275" w:type="dxa"/>
          </w:tcPr>
          <w:p w14:paraId="398AC53C" w14:textId="37DE5954" w:rsidR="009A2468" w:rsidRDefault="00385ABF" w:rsidP="009A24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15.60%</w:t>
            </w:r>
          </w:p>
        </w:tc>
      </w:tr>
      <w:tr w:rsidR="009A2468" w14:paraId="7F7CD47C" w14:textId="77777777" w:rsidTr="009A2468">
        <w:tc>
          <w:tcPr>
            <w:tcW w:w="3681" w:type="dxa"/>
          </w:tcPr>
          <w:p w14:paraId="71ADD2DD" w14:textId="059BF53F" w:rsidR="009A2468" w:rsidRDefault="009A2468" w:rsidP="009A24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Operating Return on Asset</w:t>
            </w:r>
          </w:p>
        </w:tc>
        <w:tc>
          <w:tcPr>
            <w:tcW w:w="1134" w:type="dxa"/>
          </w:tcPr>
          <w:p w14:paraId="347F56A8" w14:textId="0E5A5840" w:rsidR="009A2468" w:rsidRDefault="003658BA" w:rsidP="009A24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6.82%</w:t>
            </w:r>
          </w:p>
        </w:tc>
        <w:tc>
          <w:tcPr>
            <w:tcW w:w="1134" w:type="dxa"/>
          </w:tcPr>
          <w:p w14:paraId="142C33F1" w14:textId="3A45A0AE" w:rsidR="009A2468" w:rsidRDefault="009A2468" w:rsidP="009A24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2.97%</w:t>
            </w:r>
          </w:p>
        </w:tc>
        <w:tc>
          <w:tcPr>
            <w:tcW w:w="1134" w:type="dxa"/>
          </w:tcPr>
          <w:p w14:paraId="7ED14DE8" w14:textId="58C3FF2B" w:rsidR="009A2468" w:rsidRDefault="009A2468" w:rsidP="009A24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4.55%</w:t>
            </w:r>
          </w:p>
        </w:tc>
        <w:tc>
          <w:tcPr>
            <w:tcW w:w="1276" w:type="dxa"/>
          </w:tcPr>
          <w:p w14:paraId="3EA6C7AD" w14:textId="5185BBC3" w:rsidR="009A2468" w:rsidRDefault="00385ABF" w:rsidP="009A24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12.88%</w:t>
            </w:r>
          </w:p>
        </w:tc>
        <w:tc>
          <w:tcPr>
            <w:tcW w:w="1275" w:type="dxa"/>
          </w:tcPr>
          <w:p w14:paraId="1F46FE35" w14:textId="1EE549F0" w:rsidR="009A2468" w:rsidRDefault="00385ABF" w:rsidP="009A24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2.11%</w:t>
            </w:r>
          </w:p>
        </w:tc>
      </w:tr>
      <w:tr w:rsidR="009A2468" w14:paraId="79CF111E" w14:textId="77777777" w:rsidTr="009A2468">
        <w:tc>
          <w:tcPr>
            <w:tcW w:w="3681" w:type="dxa"/>
          </w:tcPr>
          <w:p w14:paraId="72F09F51" w14:textId="69341247" w:rsidR="009A2468" w:rsidRDefault="009A2468" w:rsidP="009A24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Return on Equity</w:t>
            </w:r>
          </w:p>
        </w:tc>
        <w:tc>
          <w:tcPr>
            <w:tcW w:w="1134" w:type="dxa"/>
          </w:tcPr>
          <w:p w14:paraId="141CDEFD" w14:textId="796338DD" w:rsidR="009A2468" w:rsidRDefault="003658BA" w:rsidP="009A24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21.66%</w:t>
            </w:r>
          </w:p>
        </w:tc>
        <w:tc>
          <w:tcPr>
            <w:tcW w:w="1134" w:type="dxa"/>
          </w:tcPr>
          <w:p w14:paraId="32A34D6D" w14:textId="759A7A58" w:rsidR="009A2468" w:rsidRDefault="009A2468" w:rsidP="009A24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6.63%</w:t>
            </w:r>
          </w:p>
        </w:tc>
        <w:tc>
          <w:tcPr>
            <w:tcW w:w="1134" w:type="dxa"/>
          </w:tcPr>
          <w:p w14:paraId="3DDE2D4F" w14:textId="6B303901" w:rsidR="009A2468" w:rsidRDefault="009A2468" w:rsidP="009A24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10.89%</w:t>
            </w:r>
          </w:p>
        </w:tc>
        <w:tc>
          <w:tcPr>
            <w:tcW w:w="1276" w:type="dxa"/>
          </w:tcPr>
          <w:p w14:paraId="0F7CF9F5" w14:textId="79486EC2" w:rsidR="009A2468" w:rsidRDefault="00385ABF" w:rsidP="009A24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35.41%</w:t>
            </w:r>
          </w:p>
        </w:tc>
        <w:tc>
          <w:tcPr>
            <w:tcW w:w="1275" w:type="dxa"/>
          </w:tcPr>
          <w:p w14:paraId="488DDFB4" w14:textId="3007BE04" w:rsidR="009A2468" w:rsidRDefault="00385ABF" w:rsidP="009A24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6.58%</w:t>
            </w:r>
          </w:p>
        </w:tc>
      </w:tr>
    </w:tbl>
    <w:p w14:paraId="32A08FDD" w14:textId="77777777" w:rsidR="003658BA" w:rsidRDefault="003658BA" w:rsidP="009A2468">
      <w:pPr>
        <w:jc w:val="center"/>
        <w:rPr>
          <w:rFonts w:ascii="Arial" w:hAnsi="Arial" w:cs="Arial"/>
          <w:sz w:val="24"/>
          <w:szCs w:val="24"/>
        </w:rPr>
      </w:pPr>
    </w:p>
    <w:p w14:paraId="4494A633" w14:textId="77777777" w:rsidR="003658BA" w:rsidRDefault="003658BA" w:rsidP="009A2468">
      <w:pPr>
        <w:jc w:val="center"/>
        <w:rPr>
          <w:rFonts w:ascii="Arial" w:hAnsi="Arial" w:cs="Arial"/>
          <w:sz w:val="24"/>
          <w:szCs w:val="24"/>
        </w:rPr>
      </w:pPr>
    </w:p>
    <w:p w14:paraId="56E16CD4" w14:textId="54BBD2D9" w:rsidR="009A2468" w:rsidRDefault="003658BA" w:rsidP="009A246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1D895B2" wp14:editId="4D9A6DEA">
            <wp:extent cx="5486400" cy="32004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73BFA487" w14:textId="3652F602" w:rsidR="003658BA" w:rsidRPr="009A2468" w:rsidRDefault="00526CA1" w:rsidP="00526C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bar chart shows the profitability ratios of Gamuda </w:t>
      </w:r>
      <w:proofErr w:type="spellStart"/>
      <w:r>
        <w:rPr>
          <w:rFonts w:ascii="Arial" w:hAnsi="Arial" w:cs="Arial"/>
          <w:sz w:val="24"/>
          <w:szCs w:val="24"/>
        </w:rPr>
        <w:t>Berhad</w:t>
      </w:r>
      <w:proofErr w:type="spellEnd"/>
      <w:r>
        <w:rPr>
          <w:rFonts w:ascii="Arial" w:hAnsi="Arial" w:cs="Arial"/>
          <w:sz w:val="24"/>
          <w:szCs w:val="24"/>
        </w:rPr>
        <w:t xml:space="preserve"> between the years 2016 to 2020. </w:t>
      </w:r>
      <w:r w:rsidR="00C71E53">
        <w:rPr>
          <w:rFonts w:ascii="Arial" w:hAnsi="Arial" w:cs="Arial"/>
          <w:sz w:val="24"/>
          <w:szCs w:val="24"/>
        </w:rPr>
        <w:t xml:space="preserve">Based on the </w:t>
      </w:r>
      <w:r>
        <w:rPr>
          <w:rFonts w:ascii="Arial" w:hAnsi="Arial" w:cs="Arial"/>
          <w:sz w:val="24"/>
          <w:szCs w:val="24"/>
        </w:rPr>
        <w:t>chart</w:t>
      </w:r>
      <w:r w:rsidR="00C71E53">
        <w:rPr>
          <w:rFonts w:ascii="Arial" w:hAnsi="Arial" w:cs="Arial"/>
          <w:sz w:val="24"/>
          <w:szCs w:val="24"/>
        </w:rPr>
        <w:t xml:space="preserve"> above, all of the profitability ratios were unstable from 2016 to 2020. We can see that all of the </w:t>
      </w:r>
      <w:r>
        <w:rPr>
          <w:rFonts w:ascii="Arial" w:hAnsi="Arial" w:cs="Arial"/>
          <w:sz w:val="24"/>
          <w:szCs w:val="24"/>
        </w:rPr>
        <w:t xml:space="preserve">profitability </w:t>
      </w:r>
      <w:r w:rsidR="00C71E53">
        <w:rPr>
          <w:rFonts w:ascii="Arial" w:hAnsi="Arial" w:cs="Arial"/>
          <w:sz w:val="24"/>
          <w:szCs w:val="24"/>
        </w:rPr>
        <w:t xml:space="preserve">ratios started to decline from </w:t>
      </w:r>
      <w:r>
        <w:rPr>
          <w:rFonts w:ascii="Arial" w:hAnsi="Arial" w:cs="Arial"/>
          <w:sz w:val="24"/>
          <w:szCs w:val="24"/>
        </w:rPr>
        <w:t xml:space="preserve">year </w:t>
      </w:r>
      <w:r w:rsidR="00C71E53">
        <w:rPr>
          <w:rFonts w:ascii="Arial" w:hAnsi="Arial" w:cs="Arial"/>
          <w:sz w:val="24"/>
          <w:szCs w:val="24"/>
        </w:rPr>
        <w:t xml:space="preserve">2017 to 2018 but begin to rise again </w:t>
      </w:r>
      <w:r>
        <w:rPr>
          <w:rFonts w:ascii="Arial" w:hAnsi="Arial" w:cs="Arial"/>
          <w:sz w:val="24"/>
          <w:szCs w:val="24"/>
        </w:rPr>
        <w:t xml:space="preserve">in year 2019. However, the profitability ratios </w:t>
      </w:r>
      <w:r w:rsidR="00F17E55">
        <w:rPr>
          <w:rFonts w:ascii="Arial" w:hAnsi="Arial" w:cs="Arial"/>
          <w:sz w:val="24"/>
          <w:szCs w:val="24"/>
        </w:rPr>
        <w:t xml:space="preserve">fell slightly in year 2020. </w:t>
      </w:r>
    </w:p>
    <w:sectPr w:rsidR="003658BA" w:rsidRPr="009A24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3D0"/>
    <w:rsid w:val="003658BA"/>
    <w:rsid w:val="00385ABF"/>
    <w:rsid w:val="00526CA1"/>
    <w:rsid w:val="007363D0"/>
    <w:rsid w:val="009A2468"/>
    <w:rsid w:val="00C71E53"/>
    <w:rsid w:val="00F17E55"/>
    <w:rsid w:val="00F6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257BE"/>
  <w15:chartTrackingRefBased/>
  <w15:docId w15:val="{1CA4DA25-D23E-41A5-8C34-91B971C3B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2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MY"/>
              <a:t>Profitability</a:t>
            </a:r>
            <a:r>
              <a:rPr lang="en-MY" baseline="0"/>
              <a:t> Ratios</a:t>
            </a:r>
            <a:endParaRPr lang="en-MY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Gross Profit Margin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Sheet1!$A$2:$A$6</c:f>
              <c:numCache>
                <c:formatCode>General</c:formatCode>
                <c:ptCount val="5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Sheet1!$B$2:$B$6</c:f>
              <c:numCache>
                <c:formatCode>0.00%</c:formatCode>
                <c:ptCount val="5"/>
                <c:pt idx="0">
                  <c:v>0.4153</c:v>
                </c:pt>
                <c:pt idx="1">
                  <c:v>0.27100000000000002</c:v>
                </c:pt>
                <c:pt idx="2">
                  <c:v>0.2752</c:v>
                </c:pt>
                <c:pt idx="3">
                  <c:v>0.52600000000000002</c:v>
                </c:pt>
                <c:pt idx="4">
                  <c:v>0.36919999999999997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C41-498E-AFCA-5D2A14C6A187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Operating Profit Margin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Sheet1!$A$2:$A$6</c:f>
              <c:numCache>
                <c:formatCode>General</c:formatCode>
                <c:ptCount val="5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Sheet1!$C$2:$C$6</c:f>
              <c:numCache>
                <c:formatCode>0.00%</c:formatCode>
                <c:ptCount val="5"/>
                <c:pt idx="0">
                  <c:v>0.63429999999999997</c:v>
                </c:pt>
                <c:pt idx="1">
                  <c:v>0.33279999999999998</c:v>
                </c:pt>
                <c:pt idx="2">
                  <c:v>0.29699999999999999</c:v>
                </c:pt>
                <c:pt idx="3">
                  <c:v>0.56720000000000004</c:v>
                </c:pt>
                <c:pt idx="4" formatCode="0%">
                  <c:v>0.45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C41-498E-AFCA-5D2A14C6A187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Net Profit Margin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numRef>
              <c:f>Sheet1!$A$2:$A$6</c:f>
              <c:numCache>
                <c:formatCode>General</c:formatCode>
                <c:ptCount val="5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Sheet1!$D$2:$D$6</c:f>
              <c:numCache>
                <c:formatCode>0.00%</c:formatCode>
                <c:ptCount val="5"/>
                <c:pt idx="0">
                  <c:v>0.51119999999999999</c:v>
                </c:pt>
                <c:pt idx="1">
                  <c:v>0.19089999999999999</c:v>
                </c:pt>
                <c:pt idx="2">
                  <c:v>0.2344</c:v>
                </c:pt>
                <c:pt idx="3">
                  <c:v>0.50760000000000005</c:v>
                </c:pt>
                <c:pt idx="4">
                  <c:v>0.156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C41-498E-AFCA-5D2A14C6A187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Operating Return on Asset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numRef>
              <c:f>Sheet1!$A$2:$A$6</c:f>
              <c:numCache>
                <c:formatCode>General</c:formatCode>
                <c:ptCount val="5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Sheet1!$E$2:$E$6</c:f>
              <c:numCache>
                <c:formatCode>0.00%</c:formatCode>
                <c:ptCount val="5"/>
                <c:pt idx="0">
                  <c:v>6.8199999999999997E-2</c:v>
                </c:pt>
                <c:pt idx="1">
                  <c:v>2.9700000000000001E-2</c:v>
                </c:pt>
                <c:pt idx="2">
                  <c:v>4.5499999999999999E-2</c:v>
                </c:pt>
                <c:pt idx="3">
                  <c:v>0.1288</c:v>
                </c:pt>
                <c:pt idx="4">
                  <c:v>2.1100000000000001E-2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C41-498E-AFCA-5D2A14C6A187}"/>
            </c:ext>
          </c:extLst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Return on Equity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numRef>
              <c:f>Sheet1!$A$2:$A$6</c:f>
              <c:numCache>
                <c:formatCode>General</c:formatCode>
                <c:ptCount val="5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Sheet1!$F$2:$F$6</c:f>
              <c:numCache>
                <c:formatCode>0.00%</c:formatCode>
                <c:ptCount val="5"/>
                <c:pt idx="0">
                  <c:v>0.21659999999999999</c:v>
                </c:pt>
                <c:pt idx="1">
                  <c:v>6.6299999999999998E-2</c:v>
                </c:pt>
                <c:pt idx="2">
                  <c:v>0.1089</c:v>
                </c:pt>
                <c:pt idx="3">
                  <c:v>0.35410000000000003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2C41-498E-AFCA-5D2A14C6A18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44511007"/>
        <c:axId val="144518911"/>
      </c:barChart>
      <c:catAx>
        <c:axId val="14451100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4518911"/>
        <c:crosses val="autoZero"/>
        <c:auto val="1"/>
        <c:lblAlgn val="ctr"/>
        <c:lblOffset val="100"/>
        <c:noMultiLvlLbl val="0"/>
      </c:catAx>
      <c:valAx>
        <c:axId val="14451891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451100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3A289-A23F-4291-9891-58CAC1405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jacky how</dc:creator>
  <cp:keywords/>
  <dc:description/>
  <cp:lastModifiedBy>jacky how</cp:lastModifiedBy>
  <cp:revision>2</cp:revision>
  <dcterms:created xsi:type="dcterms:W3CDTF">2021-05-26T01:12:00Z</dcterms:created>
  <dcterms:modified xsi:type="dcterms:W3CDTF">2021-05-26T02:33:00Z</dcterms:modified>
</cp:coreProperties>
</file>