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E94B" w14:textId="77777777" w:rsidR="001D683A" w:rsidRPr="00436EA0" w:rsidRDefault="001D683A" w:rsidP="001D683A">
      <w:pPr>
        <w:ind w:hanging="2"/>
        <w:jc w:val="both"/>
        <w:rPr>
          <w:rFonts w:ascii="Arial" w:eastAsia="Arial" w:hAnsi="Arial" w:cs="Arial"/>
          <w:b/>
        </w:rPr>
      </w:pPr>
      <w:r w:rsidRPr="00436EA0">
        <w:rPr>
          <w:rFonts w:ascii="Arial" w:eastAsia="Arial" w:hAnsi="Arial" w:cs="Arial"/>
          <w:b/>
        </w:rPr>
        <w:t>Word limit</w:t>
      </w:r>
      <w:r>
        <w:rPr>
          <w:rFonts w:ascii="Arial" w:eastAsia="Arial" w:hAnsi="Arial" w:cs="Arial"/>
          <w:b/>
        </w:rPr>
        <w:t>:</w:t>
      </w:r>
    </w:p>
    <w:p w14:paraId="0F7A8D8F" w14:textId="77777777" w:rsidR="001D683A" w:rsidRPr="00273A4E" w:rsidRDefault="001D683A" w:rsidP="001D683A">
      <w:pPr>
        <w:ind w:hanging="2"/>
        <w:jc w:val="both"/>
        <w:rPr>
          <w:rFonts w:ascii="Arial" w:eastAsia="Arial" w:hAnsi="Arial" w:cs="Arial"/>
          <w:sz w:val="22"/>
          <w:szCs w:val="22"/>
        </w:rPr>
      </w:pPr>
      <w:r w:rsidRPr="00273A4E">
        <w:rPr>
          <w:rFonts w:ascii="Arial" w:eastAsia="Arial" w:hAnsi="Arial" w:cs="Arial"/>
          <w:sz w:val="22"/>
          <w:szCs w:val="22"/>
        </w:rPr>
        <w:t xml:space="preserve">The maximum word count for this exercise is </w:t>
      </w:r>
      <w:r>
        <w:rPr>
          <w:rFonts w:ascii="Arial" w:eastAsia="Arial" w:hAnsi="Arial" w:cs="Arial"/>
          <w:b/>
          <w:sz w:val="22"/>
          <w:szCs w:val="22"/>
        </w:rPr>
        <w:t>2000</w:t>
      </w:r>
      <w:r w:rsidRPr="00273A4E">
        <w:rPr>
          <w:rFonts w:ascii="Arial" w:eastAsia="Arial" w:hAnsi="Arial" w:cs="Arial"/>
          <w:b/>
          <w:sz w:val="22"/>
          <w:szCs w:val="22"/>
        </w:rPr>
        <w:t xml:space="preserve"> words</w:t>
      </w:r>
      <w:r w:rsidRPr="00273A4E">
        <w:rPr>
          <w:rFonts w:ascii="Arial" w:eastAsia="Arial" w:hAnsi="Arial" w:cs="Arial"/>
          <w:sz w:val="22"/>
          <w:szCs w:val="22"/>
        </w:rPr>
        <w:t xml:space="preserve"> that</w:t>
      </w:r>
      <w:r w:rsidRPr="00273A4E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includes everything between the start and completion of the answer, excluding tables, figures, foot - and endnotes, and appendices, but including any in-text citations. </w:t>
      </w:r>
    </w:p>
    <w:p w14:paraId="6B9559F9" w14:textId="77777777" w:rsidR="001D683A" w:rsidRDefault="001D683A" w:rsidP="001D683A">
      <w:pPr>
        <w:ind w:hanging="2"/>
        <w:rPr>
          <w:rFonts w:ascii="Arial" w:eastAsia="Arial" w:hAnsi="Arial" w:cs="Arial"/>
        </w:rPr>
      </w:pPr>
    </w:p>
    <w:p w14:paraId="5BA99A0B" w14:textId="77777777" w:rsidR="001D683A" w:rsidRPr="00436EA0" w:rsidRDefault="001D683A" w:rsidP="001D683A">
      <w:pPr>
        <w:ind w:hanging="2"/>
        <w:rPr>
          <w:rFonts w:ascii="Arial" w:eastAsia="Arial" w:hAnsi="Arial" w:cs="Arial"/>
          <w:b/>
        </w:rPr>
      </w:pPr>
      <w:r w:rsidRPr="00436EA0">
        <w:rPr>
          <w:rFonts w:ascii="Arial" w:eastAsia="Arial" w:hAnsi="Arial" w:cs="Arial"/>
          <w:b/>
        </w:rPr>
        <w:t>References and additional material</w:t>
      </w:r>
      <w:r>
        <w:rPr>
          <w:rFonts w:ascii="Arial" w:eastAsia="Arial" w:hAnsi="Arial" w:cs="Arial"/>
          <w:b/>
        </w:rPr>
        <w:t>:</w:t>
      </w:r>
    </w:p>
    <w:p w14:paraId="14878A1D" w14:textId="67E3238A" w:rsidR="001D683A" w:rsidRDefault="001D683A" w:rsidP="001D683A">
      <w:pPr>
        <w:ind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 answering the questions below, you must consult the relevant chapters of the recommended book </w:t>
      </w:r>
      <w:r w:rsidRPr="00273A4E">
        <w:rPr>
          <w:rFonts w:ascii="Arial" w:hAnsi="Arial" w:cs="Arial"/>
          <w:b/>
          <w:bCs/>
          <w:color w:val="000000"/>
          <w:kern w:val="24"/>
          <w:sz w:val="22"/>
          <w:szCs w:val="22"/>
          <w:lang w:eastAsia="en-GB"/>
        </w:rPr>
        <w:t>Introductory Econometrics for Finance</w:t>
      </w:r>
      <w:r>
        <w:rPr>
          <w:rFonts w:ascii="Arial" w:hAnsi="Arial" w:cs="Arial"/>
          <w:b/>
          <w:bCs/>
          <w:color w:val="000000"/>
          <w:kern w:val="24"/>
          <w:sz w:val="22"/>
          <w:szCs w:val="22"/>
          <w:lang w:eastAsia="en-GB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by Chris Brooks and my lecture handouts, my </w:t>
      </w:r>
      <w:proofErr w:type="spellStart"/>
      <w:r>
        <w:rPr>
          <w:rFonts w:ascii="Arial" w:eastAsia="Arial" w:hAnsi="Arial" w:cs="Arial"/>
          <w:sz w:val="22"/>
          <w:szCs w:val="22"/>
        </w:rPr>
        <w:t>Eviews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based lab sheets and the help option in </w:t>
      </w:r>
      <w:proofErr w:type="spellStart"/>
      <w:r>
        <w:rPr>
          <w:rFonts w:ascii="Arial" w:eastAsia="Arial" w:hAnsi="Arial" w:cs="Arial"/>
          <w:sz w:val="22"/>
          <w:szCs w:val="22"/>
        </w:rPr>
        <w:t>Eviews</w:t>
      </w:r>
      <w:proofErr w:type="spellEnd"/>
    </w:p>
    <w:p w14:paraId="0FD75813" w14:textId="535A9CCE" w:rsidR="001D683A" w:rsidRDefault="001D683A" w:rsidP="001D683A">
      <w:pPr>
        <w:ind w:hanging="2"/>
        <w:rPr>
          <w:rFonts w:ascii="Arial" w:eastAsia="Arial" w:hAnsi="Arial" w:cs="Arial"/>
          <w:sz w:val="22"/>
          <w:szCs w:val="22"/>
        </w:rPr>
      </w:pPr>
    </w:p>
    <w:p w14:paraId="32ABF264" w14:textId="77777777" w:rsidR="001D683A" w:rsidRPr="00436EA0" w:rsidRDefault="001D683A" w:rsidP="001D683A">
      <w:pPr>
        <w:ind w:hanging="2"/>
        <w:rPr>
          <w:rFonts w:ascii="Arial" w:eastAsia="Arial" w:hAnsi="Arial" w:cs="Arial"/>
          <w:b/>
          <w:sz w:val="22"/>
          <w:szCs w:val="22"/>
        </w:rPr>
      </w:pPr>
      <w:r w:rsidRPr="00436EA0">
        <w:rPr>
          <w:rFonts w:ascii="Arial" w:eastAsia="Arial" w:hAnsi="Arial" w:cs="Arial"/>
          <w:b/>
          <w:sz w:val="22"/>
          <w:szCs w:val="22"/>
        </w:rPr>
        <w:t>Data:</w:t>
      </w:r>
    </w:p>
    <w:p w14:paraId="097EBB9A" w14:textId="77777777" w:rsidR="001D683A" w:rsidRDefault="001D683A" w:rsidP="001D683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4E86F24E" w14:textId="6A997DC1" w:rsidR="001D683A" w:rsidRDefault="001D683A" w:rsidP="001D683A">
      <w:pPr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22"/>
        </w:rPr>
        <w:t>Will be provided.</w:t>
      </w:r>
    </w:p>
    <w:p w14:paraId="563E64C0" w14:textId="77777777" w:rsidR="001D683A" w:rsidRDefault="001D683A" w:rsidP="001D683A">
      <w:pPr>
        <w:ind w:hanging="2"/>
        <w:rPr>
          <w:rFonts w:ascii="Arial" w:eastAsia="Arial" w:hAnsi="Arial" w:cs="Arial"/>
          <w:sz w:val="22"/>
          <w:szCs w:val="22"/>
        </w:rPr>
      </w:pPr>
    </w:p>
    <w:p w14:paraId="3C3A8598" w14:textId="6471628A" w:rsidR="001D683A" w:rsidRDefault="001D683A"/>
    <w:p w14:paraId="252B2CB2" w14:textId="1D7A3C24" w:rsidR="001D683A" w:rsidRPr="00273A4E" w:rsidRDefault="001D683A" w:rsidP="001D683A">
      <w:pPr>
        <w:rPr>
          <w:rFonts w:ascii="Arial" w:hAnsi="Arial" w:cs="Arial"/>
          <w:sz w:val="22"/>
        </w:rPr>
      </w:pPr>
      <w:r w:rsidRPr="00273A4E">
        <w:rPr>
          <w:rFonts w:ascii="Arial" w:hAnsi="Arial" w:cs="Arial"/>
          <w:sz w:val="22"/>
        </w:rPr>
        <w:t xml:space="preserve">In answering the questions below, you may wish to consult the option in </w:t>
      </w:r>
      <w:proofErr w:type="spellStart"/>
      <w:r w:rsidRPr="00273A4E">
        <w:rPr>
          <w:rFonts w:ascii="Arial" w:hAnsi="Arial" w:cs="Arial"/>
          <w:sz w:val="22"/>
        </w:rPr>
        <w:t>Eviews</w:t>
      </w:r>
      <w:proofErr w:type="spellEnd"/>
      <w:r w:rsidRPr="00273A4E">
        <w:rPr>
          <w:rFonts w:ascii="Arial" w:hAnsi="Arial" w:cs="Arial"/>
          <w:sz w:val="22"/>
        </w:rPr>
        <w:t>.</w:t>
      </w:r>
    </w:p>
    <w:p w14:paraId="045E5FBE" w14:textId="77777777" w:rsidR="001D683A" w:rsidRDefault="001D683A" w:rsidP="001D683A">
      <w:pPr>
        <w:rPr>
          <w:rFonts w:ascii="Arial" w:hAnsi="Arial" w:cs="Arial"/>
          <w:sz w:val="22"/>
        </w:rPr>
      </w:pPr>
    </w:p>
    <w:p w14:paraId="338B9C8B" w14:textId="77777777" w:rsidR="001D683A" w:rsidRDefault="001D683A" w:rsidP="001D683A">
      <w:pPr>
        <w:rPr>
          <w:rFonts w:ascii="Arial" w:hAnsi="Arial" w:cs="Arial"/>
          <w:sz w:val="22"/>
        </w:rPr>
      </w:pPr>
    </w:p>
    <w:p w14:paraId="63FC3209" w14:textId="178269CB" w:rsidR="001D683A" w:rsidRPr="001D683A" w:rsidRDefault="001D683A" w:rsidP="001D683A">
      <w:pPr>
        <w:numPr>
          <w:ilvl w:val="0"/>
          <w:numId w:val="1"/>
        </w:numPr>
        <w:rPr>
          <w:rFonts w:ascii="Arial" w:hAnsi="Arial" w:cs="Arial"/>
          <w:sz w:val="22"/>
        </w:rPr>
      </w:pPr>
      <w:r w:rsidRPr="00562E11">
        <w:rPr>
          <w:rFonts w:ascii="Arial" w:hAnsi="Arial" w:cs="Arial"/>
          <w:sz w:val="22"/>
        </w:rPr>
        <w:t xml:space="preserve">For your series, in </w:t>
      </w:r>
      <w:proofErr w:type="spellStart"/>
      <w:r w:rsidRPr="00562E11">
        <w:rPr>
          <w:rFonts w:ascii="Arial" w:hAnsi="Arial" w:cs="Arial"/>
          <w:sz w:val="22"/>
        </w:rPr>
        <w:t>Eviews</w:t>
      </w:r>
      <w:proofErr w:type="spellEnd"/>
      <w:r w:rsidRPr="00562E11">
        <w:rPr>
          <w:rFonts w:ascii="Arial" w:hAnsi="Arial" w:cs="Arial"/>
          <w:sz w:val="22"/>
        </w:rPr>
        <w:t xml:space="preserve"> use the </w:t>
      </w:r>
      <w:proofErr w:type="spellStart"/>
      <w:r w:rsidRPr="00562E11">
        <w:rPr>
          <w:rFonts w:ascii="Arial" w:hAnsi="Arial" w:cs="Arial"/>
          <w:b/>
          <w:bCs/>
          <w:sz w:val="22"/>
        </w:rPr>
        <w:t>Genr</w:t>
      </w:r>
      <w:proofErr w:type="spellEnd"/>
      <w:r w:rsidRPr="00562E11">
        <w:rPr>
          <w:rFonts w:ascii="Arial" w:hAnsi="Arial" w:cs="Arial"/>
          <w:sz w:val="22"/>
        </w:rPr>
        <w:t xml:space="preserve"> option to calculate (</w:t>
      </w:r>
      <w:proofErr w:type="spellStart"/>
      <w:r w:rsidRPr="00562E11">
        <w:rPr>
          <w:rFonts w:ascii="Arial" w:hAnsi="Arial" w:cs="Arial"/>
          <w:sz w:val="22"/>
        </w:rPr>
        <w:t>i</w:t>
      </w:r>
      <w:proofErr w:type="spellEnd"/>
      <w:r w:rsidRPr="00562E11">
        <w:rPr>
          <w:rFonts w:ascii="Arial" w:hAnsi="Arial" w:cs="Arial"/>
          <w:sz w:val="22"/>
        </w:rPr>
        <w:t xml:space="preserve">) the log of the </w:t>
      </w:r>
      <w:r>
        <w:rPr>
          <w:rFonts w:ascii="Arial" w:hAnsi="Arial" w:cs="Arial"/>
          <w:sz w:val="22"/>
        </w:rPr>
        <w:t xml:space="preserve">price </w:t>
      </w:r>
      <w:r w:rsidRPr="00562E11">
        <w:rPr>
          <w:rFonts w:ascii="Arial" w:hAnsi="Arial" w:cs="Arial"/>
          <w:sz w:val="22"/>
        </w:rPr>
        <w:t xml:space="preserve">series, e.g. </w:t>
      </w:r>
      <w:r w:rsidRPr="00562E11">
        <w:rPr>
          <w:rFonts w:ascii="Courier New" w:hAnsi="Courier New" w:cs="Courier New"/>
          <w:sz w:val="22"/>
        </w:rPr>
        <w:t>e=log</w:t>
      </w:r>
      <w:r w:rsidRPr="00562E11">
        <w:rPr>
          <w:rFonts w:ascii="Arial" w:hAnsi="Arial" w:cs="Arial"/>
          <w:sz w:val="22"/>
        </w:rPr>
        <w:t xml:space="preserve"> 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Adj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Close</w:t>
      </w:r>
      <w:r w:rsidRPr="00562E11">
        <w:rPr>
          <w:rFonts w:ascii="Arial" w:hAnsi="Arial" w:cs="Arial"/>
          <w:sz w:val="22"/>
        </w:rPr>
        <w:t xml:space="preserve">), and (ii) the daily log returns (e.g. </w:t>
      </w:r>
      <w:r>
        <w:rPr>
          <w:rFonts w:ascii="Courier New" w:hAnsi="Courier New"/>
          <w:b/>
          <w:bCs/>
          <w:sz w:val="22"/>
        </w:rPr>
        <w:t>r=</w:t>
      </w:r>
      <w:proofErr w:type="gramStart"/>
      <w:r>
        <w:rPr>
          <w:rFonts w:ascii="Courier New" w:hAnsi="Courier New"/>
          <w:b/>
          <w:bCs/>
          <w:sz w:val="22"/>
        </w:rPr>
        <w:t>log(</w:t>
      </w:r>
      <w:proofErr w:type="spellStart"/>
      <w:proofErr w:type="gramEnd"/>
      <w:r>
        <w:rPr>
          <w:rFonts w:ascii="Calibri" w:hAnsi="Calibri" w:cs="Calibri"/>
          <w:color w:val="000000"/>
          <w:sz w:val="22"/>
          <w:szCs w:val="22"/>
        </w:rPr>
        <w:t>Adj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Close</w:t>
      </w:r>
      <w:r>
        <w:rPr>
          <w:rFonts w:ascii="Courier New" w:hAnsi="Courier New"/>
          <w:b/>
          <w:bCs/>
          <w:sz w:val="22"/>
        </w:rPr>
        <w:t>)-log(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Adj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Close</w:t>
      </w:r>
      <w:r>
        <w:rPr>
          <w:rFonts w:ascii="Courier New" w:hAnsi="Courier New"/>
          <w:b/>
          <w:bCs/>
          <w:sz w:val="22"/>
        </w:rPr>
        <w:t>(-1))</w:t>
      </w:r>
      <w:r>
        <w:rPr>
          <w:rFonts w:ascii="Arial" w:hAnsi="Arial" w:cs="Arial"/>
          <w:sz w:val="22"/>
        </w:rPr>
        <w:t>).</w:t>
      </w:r>
    </w:p>
    <w:p w14:paraId="5D1865CC" w14:textId="77777777" w:rsidR="001D683A" w:rsidRPr="00562E11" w:rsidRDefault="001D683A" w:rsidP="001D683A">
      <w:pPr>
        <w:ind w:left="360"/>
        <w:rPr>
          <w:rFonts w:ascii="Arial" w:hAnsi="Arial" w:cs="Arial"/>
          <w:sz w:val="22"/>
        </w:rPr>
      </w:pPr>
    </w:p>
    <w:p w14:paraId="0C063DD8" w14:textId="77777777" w:rsidR="001D683A" w:rsidRDefault="001D683A" w:rsidP="001D683A">
      <w:pPr>
        <w:numPr>
          <w:ilvl w:val="2"/>
          <w:numId w:val="1"/>
        </w:numPr>
        <w:tabs>
          <w:tab w:val="num" w:pos="720"/>
        </w:tabs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Examine the descriptive statistics for both </w:t>
      </w:r>
      <w:r>
        <w:rPr>
          <w:rFonts w:ascii="Courier New" w:hAnsi="Courier New" w:cs="Courier New"/>
          <w:sz w:val="22"/>
        </w:rPr>
        <w:t xml:space="preserve">e </w:t>
      </w:r>
      <w:r>
        <w:rPr>
          <w:rFonts w:ascii="Arial" w:hAnsi="Arial" w:cs="Arial"/>
          <w:sz w:val="22"/>
        </w:rPr>
        <w:t xml:space="preserve">and </w:t>
      </w:r>
      <w:r>
        <w:rPr>
          <w:rFonts w:ascii="Courier New" w:hAnsi="Courier New" w:cs="Courier New"/>
          <w:sz w:val="22"/>
        </w:rPr>
        <w:t>r.</w:t>
      </w:r>
      <w:r>
        <w:rPr>
          <w:rFonts w:ascii="Arial" w:hAnsi="Arial" w:cs="Arial"/>
          <w:sz w:val="22"/>
        </w:rPr>
        <w:t xml:space="preserve">  What do you conclude about the distributions of </w:t>
      </w:r>
      <w:r>
        <w:rPr>
          <w:rFonts w:ascii="Courier New" w:hAnsi="Courier New" w:cs="Courier New"/>
          <w:sz w:val="22"/>
        </w:rPr>
        <w:t xml:space="preserve">e </w:t>
      </w:r>
      <w:r>
        <w:rPr>
          <w:rFonts w:ascii="Arial" w:hAnsi="Arial" w:cs="Arial"/>
          <w:sz w:val="22"/>
        </w:rPr>
        <w:t xml:space="preserve">and </w:t>
      </w:r>
      <w:r>
        <w:rPr>
          <w:rFonts w:ascii="Courier New" w:hAnsi="Courier New" w:cs="Courier New"/>
          <w:sz w:val="22"/>
        </w:rPr>
        <w:t>r</w:t>
      </w:r>
      <w:r>
        <w:rPr>
          <w:rFonts w:ascii="Arial" w:hAnsi="Arial" w:cs="Arial"/>
          <w:sz w:val="22"/>
        </w:rPr>
        <w:t xml:space="preserve">?  Is </w:t>
      </w:r>
      <w:proofErr w:type="spellStart"/>
      <w:r>
        <w:rPr>
          <w:rFonts w:ascii="Courier New" w:hAnsi="Courier New" w:cs="Courier New"/>
          <w:sz w:val="22"/>
        </w:rPr>
        <w:t>e</w:t>
      </w:r>
      <w:proofErr w:type="spellEnd"/>
      <w:r>
        <w:rPr>
          <w:rFonts w:ascii="Arial" w:hAnsi="Arial" w:cs="Arial"/>
          <w:sz w:val="22"/>
        </w:rPr>
        <w:t xml:space="preserve"> normally distributed?  Is </w:t>
      </w:r>
      <w:r>
        <w:rPr>
          <w:rFonts w:ascii="Courier New" w:hAnsi="Courier New" w:cs="Courier New"/>
          <w:sz w:val="22"/>
        </w:rPr>
        <w:t>r</w:t>
      </w:r>
      <w:r>
        <w:rPr>
          <w:rFonts w:ascii="Arial" w:hAnsi="Arial" w:cs="Arial"/>
          <w:sz w:val="22"/>
        </w:rPr>
        <w:t xml:space="preserve"> normally distributed?  Explain why/why not?</w:t>
      </w:r>
    </w:p>
    <w:p w14:paraId="667F4F2C" w14:textId="77777777" w:rsidR="001D683A" w:rsidRDefault="001D683A" w:rsidP="001D683A">
      <w:pPr>
        <w:numPr>
          <w:ilvl w:val="2"/>
          <w:numId w:val="1"/>
        </w:numPr>
        <w:tabs>
          <w:tab w:val="num" w:pos="720"/>
        </w:tabs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Obtain the correlograms, and examine the autocorrelations and partial autocorrelations for both </w:t>
      </w:r>
      <w:r>
        <w:rPr>
          <w:rFonts w:ascii="Courier New" w:hAnsi="Courier New" w:cs="Courier New"/>
          <w:sz w:val="22"/>
        </w:rPr>
        <w:t xml:space="preserve">e </w:t>
      </w:r>
      <w:r>
        <w:rPr>
          <w:rFonts w:ascii="Arial" w:hAnsi="Arial" w:cs="Arial"/>
          <w:sz w:val="22"/>
        </w:rPr>
        <w:t xml:space="preserve">and </w:t>
      </w:r>
      <w:r>
        <w:rPr>
          <w:rFonts w:ascii="Courier New" w:hAnsi="Courier New" w:cs="Courier New"/>
          <w:sz w:val="22"/>
        </w:rPr>
        <w:t>r</w:t>
      </w:r>
      <w:r>
        <w:rPr>
          <w:rFonts w:ascii="Arial" w:hAnsi="Arial" w:cs="Arial"/>
          <w:sz w:val="22"/>
        </w:rPr>
        <w:t xml:space="preserve">.  What do you conclude about the behaviour of </w:t>
      </w:r>
      <w:r>
        <w:rPr>
          <w:rFonts w:ascii="Courier New" w:hAnsi="Courier New" w:cs="Courier New"/>
          <w:sz w:val="22"/>
        </w:rPr>
        <w:t>e</w:t>
      </w:r>
      <w:r>
        <w:rPr>
          <w:rFonts w:ascii="Arial" w:hAnsi="Arial" w:cs="Arial"/>
          <w:sz w:val="22"/>
        </w:rPr>
        <w:t xml:space="preserve"> and </w:t>
      </w:r>
      <w:r>
        <w:rPr>
          <w:rFonts w:ascii="Courier New" w:hAnsi="Courier New" w:cs="Courier New"/>
          <w:sz w:val="22"/>
        </w:rPr>
        <w:t>r</w:t>
      </w:r>
      <w:r>
        <w:rPr>
          <w:rFonts w:ascii="Arial" w:hAnsi="Arial" w:cs="Arial"/>
          <w:sz w:val="22"/>
        </w:rPr>
        <w:t>?  Are they stationary/non-stationary?</w:t>
      </w:r>
    </w:p>
    <w:p w14:paraId="3D0D44AB" w14:textId="77777777" w:rsidR="001D683A" w:rsidRDefault="001D683A" w:rsidP="001D683A">
      <w:pPr>
        <w:numPr>
          <w:ilvl w:val="2"/>
          <w:numId w:val="1"/>
        </w:numPr>
        <w:tabs>
          <w:tab w:val="num" w:pos="720"/>
        </w:tabs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Are your conclusions about stationary/non-stationary of </w:t>
      </w:r>
      <w:r>
        <w:rPr>
          <w:rFonts w:ascii="Courier New" w:hAnsi="Courier New" w:cs="Courier New"/>
          <w:sz w:val="22"/>
        </w:rPr>
        <w:t xml:space="preserve">e </w:t>
      </w:r>
      <w:r>
        <w:rPr>
          <w:rFonts w:ascii="Arial" w:hAnsi="Arial" w:cs="Arial"/>
          <w:sz w:val="22"/>
        </w:rPr>
        <w:t xml:space="preserve">and </w:t>
      </w:r>
      <w:r>
        <w:rPr>
          <w:rFonts w:ascii="Courier New" w:hAnsi="Courier New" w:cs="Courier New"/>
          <w:sz w:val="22"/>
        </w:rPr>
        <w:t>r</w:t>
      </w:r>
      <w:r>
        <w:rPr>
          <w:rFonts w:ascii="Arial" w:hAnsi="Arial" w:cs="Arial"/>
          <w:sz w:val="22"/>
        </w:rPr>
        <w:t xml:space="preserve"> confirmed by appropriate unit root tests?</w:t>
      </w:r>
    </w:p>
    <w:p w14:paraId="41102D5C" w14:textId="77777777" w:rsidR="001D683A" w:rsidRDefault="001D683A" w:rsidP="001D683A">
      <w:pPr>
        <w:rPr>
          <w:rFonts w:ascii="Arial" w:hAnsi="Arial" w:cs="Arial"/>
          <w:sz w:val="22"/>
        </w:rPr>
      </w:pPr>
    </w:p>
    <w:p w14:paraId="24A90913" w14:textId="77777777" w:rsidR="001D683A" w:rsidRDefault="001D683A" w:rsidP="001D683A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Estimate and select an appropriate ARMA (</w:t>
      </w:r>
      <w:proofErr w:type="spellStart"/>
      <w:proofErr w:type="gramStart"/>
      <w:r>
        <w:rPr>
          <w:rFonts w:ascii="Arial" w:hAnsi="Arial" w:cs="Arial"/>
          <w:sz w:val="22"/>
        </w:rPr>
        <w:t>p,q</w:t>
      </w:r>
      <w:proofErr w:type="spellEnd"/>
      <w:proofErr w:type="gramEnd"/>
      <w:r>
        <w:rPr>
          <w:rFonts w:ascii="Arial" w:hAnsi="Arial" w:cs="Arial"/>
          <w:sz w:val="22"/>
        </w:rPr>
        <w:t xml:space="preserve">) model for </w:t>
      </w:r>
      <w:r>
        <w:rPr>
          <w:rFonts w:ascii="Courier New" w:hAnsi="Courier New" w:cs="Courier New"/>
          <w:sz w:val="22"/>
        </w:rPr>
        <w:t>e</w:t>
      </w:r>
      <w:r>
        <w:rPr>
          <w:rFonts w:ascii="Arial" w:hAnsi="Arial" w:cs="Arial"/>
          <w:sz w:val="22"/>
        </w:rPr>
        <w:t>.  In selecting your preferred model, use the information provided by:</w:t>
      </w:r>
    </w:p>
    <w:p w14:paraId="03CDF1E7" w14:textId="77777777" w:rsidR="001D683A" w:rsidRDefault="001D683A" w:rsidP="001D683A">
      <w:pPr>
        <w:ind w:left="360"/>
        <w:rPr>
          <w:rFonts w:ascii="Arial" w:hAnsi="Arial" w:cs="Arial"/>
          <w:sz w:val="22"/>
        </w:rPr>
      </w:pPr>
    </w:p>
    <w:p w14:paraId="0EC5CFC9" w14:textId="77777777" w:rsidR="001D683A" w:rsidRPr="006B6B8C" w:rsidRDefault="001D683A" w:rsidP="001D683A">
      <w:pPr>
        <w:numPr>
          <w:ilvl w:val="2"/>
          <w:numId w:val="2"/>
        </w:num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  <w:r w:rsidRPr="006B6B8C">
        <w:rPr>
          <w:rFonts w:ascii="Arial" w:hAnsi="Arial" w:cs="Arial"/>
          <w:sz w:val="22"/>
        </w:rPr>
        <w:t>The estimated coefficients (and their t-statistics or p values)</w:t>
      </w:r>
    </w:p>
    <w:p w14:paraId="55C11395" w14:textId="77777777" w:rsidR="001D683A" w:rsidRPr="006B6B8C" w:rsidRDefault="001D683A" w:rsidP="001D683A">
      <w:pPr>
        <w:numPr>
          <w:ilvl w:val="2"/>
          <w:numId w:val="2"/>
        </w:num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Serial correlation in the residuals</w:t>
      </w:r>
    </w:p>
    <w:p w14:paraId="6B19127E" w14:textId="77777777" w:rsidR="001D683A" w:rsidRPr="008865A5" w:rsidRDefault="001D683A" w:rsidP="001D683A">
      <w:pPr>
        <w:numPr>
          <w:ilvl w:val="2"/>
          <w:numId w:val="2"/>
        </w:num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I</w:t>
      </w:r>
      <w:r w:rsidRPr="006B6B8C">
        <w:rPr>
          <w:rFonts w:ascii="Arial" w:hAnsi="Arial" w:cs="Arial"/>
          <w:sz w:val="22"/>
        </w:rPr>
        <w:t>nformation criteria.</w:t>
      </w:r>
    </w:p>
    <w:p w14:paraId="3BE76409" w14:textId="77777777" w:rsidR="001D683A" w:rsidRDefault="001D683A" w:rsidP="001D683A">
      <w:pPr>
        <w:suppressAutoHyphens/>
        <w:spacing w:line="1" w:lineRule="atLeast"/>
        <w:textDirection w:val="btLr"/>
        <w:textAlignment w:val="top"/>
        <w:outlineLvl w:val="0"/>
        <w:rPr>
          <w:rFonts w:ascii="Arial" w:hAnsi="Arial" w:cs="Arial"/>
          <w:sz w:val="22"/>
        </w:rPr>
      </w:pPr>
    </w:p>
    <w:p w14:paraId="36F57547" w14:textId="77777777" w:rsidR="001D683A" w:rsidRDefault="001D683A" w:rsidP="001D683A">
      <w:pPr>
        <w:suppressAutoHyphens/>
        <w:spacing w:line="1" w:lineRule="atLeast"/>
        <w:ind w:firstLine="567"/>
        <w:textDirection w:val="btLr"/>
        <w:textAlignment w:val="top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Produce a summary table </w:t>
      </w:r>
      <w:proofErr w:type="gramStart"/>
      <w:r>
        <w:rPr>
          <w:rFonts w:ascii="Arial" w:hAnsi="Arial" w:cs="Arial"/>
          <w:sz w:val="22"/>
        </w:rPr>
        <w:t>similar to</w:t>
      </w:r>
      <w:proofErr w:type="gramEnd"/>
      <w:r>
        <w:rPr>
          <w:rFonts w:ascii="Arial" w:hAnsi="Arial" w:cs="Arial"/>
          <w:sz w:val="22"/>
        </w:rPr>
        <w:t xml:space="preserve"> this.</w:t>
      </w:r>
    </w:p>
    <w:p w14:paraId="01A0EDA1" w14:textId="77777777" w:rsidR="001D683A" w:rsidRDefault="001D683A" w:rsidP="001D683A">
      <w:pPr>
        <w:suppressAutoHyphens/>
        <w:spacing w:line="1" w:lineRule="atLeast"/>
        <w:textDirection w:val="btLr"/>
        <w:textAlignment w:val="top"/>
        <w:outlineLvl w:val="0"/>
        <w:rPr>
          <w:rFonts w:ascii="Arial" w:hAnsi="Arial" w:cs="Arial"/>
          <w:sz w:val="22"/>
        </w:rPr>
      </w:pPr>
    </w:p>
    <w:p w14:paraId="15C8DBE2" w14:textId="77777777" w:rsidR="001D683A" w:rsidRDefault="001D683A" w:rsidP="001D683A">
      <w:pPr>
        <w:suppressAutoHyphens/>
        <w:spacing w:line="1" w:lineRule="atLeast"/>
        <w:textDirection w:val="btLr"/>
        <w:textAlignment w:val="top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7FE0019" wp14:editId="3712CFD2">
            <wp:simplePos x="0" y="0"/>
            <wp:positionH relativeFrom="column">
              <wp:posOffset>449580</wp:posOffset>
            </wp:positionH>
            <wp:positionV relativeFrom="paragraph">
              <wp:posOffset>113665</wp:posOffset>
            </wp:positionV>
            <wp:extent cx="6079490" cy="1733550"/>
            <wp:effectExtent l="0" t="0" r="3810" b="6350"/>
            <wp:wrapNone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A82EE4" w14:textId="77777777" w:rsidR="001D683A" w:rsidRDefault="001D683A" w:rsidP="001D683A">
      <w:pPr>
        <w:suppressAutoHyphens/>
        <w:spacing w:line="1" w:lineRule="atLeast"/>
        <w:textDirection w:val="btLr"/>
        <w:textAlignment w:val="top"/>
        <w:outlineLvl w:val="0"/>
        <w:rPr>
          <w:rFonts w:ascii="Arial" w:hAnsi="Arial" w:cs="Arial"/>
          <w:sz w:val="22"/>
        </w:rPr>
      </w:pPr>
    </w:p>
    <w:p w14:paraId="301BB23D" w14:textId="77777777" w:rsidR="001D683A" w:rsidRDefault="001D683A" w:rsidP="001D683A">
      <w:pPr>
        <w:suppressAutoHyphens/>
        <w:spacing w:line="1" w:lineRule="atLeast"/>
        <w:textDirection w:val="btLr"/>
        <w:textAlignment w:val="top"/>
        <w:outlineLvl w:val="0"/>
        <w:rPr>
          <w:rFonts w:ascii="Arial" w:hAnsi="Arial" w:cs="Arial"/>
          <w:sz w:val="22"/>
        </w:rPr>
      </w:pPr>
    </w:p>
    <w:p w14:paraId="3191A261" w14:textId="77777777" w:rsidR="001D683A" w:rsidRPr="006B6B8C" w:rsidRDefault="001D683A" w:rsidP="001D683A">
      <w:p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3B0F435F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53986F13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19EA0465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41B75E06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329EE306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147824AA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60234C2C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452E1996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14987506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sz w:val="22"/>
          <w:szCs w:val="22"/>
        </w:rPr>
        <w:t>standard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errors are in parenthesis)</w:t>
      </w:r>
    </w:p>
    <w:p w14:paraId="37CE1F60" w14:textId="77777777" w:rsidR="001D683A" w:rsidRPr="006B6B8C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7996888D" w14:textId="77777777" w:rsidR="001D683A" w:rsidRPr="006B6B8C" w:rsidRDefault="001D683A" w:rsidP="001D683A">
      <w:pPr>
        <w:numPr>
          <w:ilvl w:val="2"/>
          <w:numId w:val="2"/>
        </w:num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  <w:r w:rsidRPr="006B6B8C">
        <w:rPr>
          <w:rFonts w:ascii="Arial" w:eastAsia="Arial" w:hAnsi="Arial" w:cs="Arial"/>
          <w:sz w:val="22"/>
          <w:szCs w:val="22"/>
        </w:rPr>
        <w:t xml:space="preserve">Carry out forecasts (Ex-post Out of sample) of the </w:t>
      </w:r>
      <w:r w:rsidRPr="006B6B8C">
        <w:rPr>
          <w:rFonts w:ascii="Courier New" w:eastAsia="Courier New" w:hAnsi="Courier New" w:cs="Courier New"/>
          <w:sz w:val="22"/>
          <w:szCs w:val="22"/>
        </w:rPr>
        <w:t xml:space="preserve">e </w:t>
      </w:r>
      <w:r w:rsidRPr="006B6B8C">
        <w:rPr>
          <w:rFonts w:ascii="Arial" w:eastAsia="Arial" w:hAnsi="Arial" w:cs="Arial"/>
          <w:sz w:val="22"/>
          <w:szCs w:val="22"/>
        </w:rPr>
        <w:t xml:space="preserve">series for the last </w:t>
      </w:r>
      <w:r>
        <w:rPr>
          <w:rFonts w:ascii="Arial" w:eastAsia="Arial" w:hAnsi="Arial" w:cs="Arial"/>
          <w:sz w:val="22"/>
          <w:szCs w:val="22"/>
        </w:rPr>
        <w:t>3</w:t>
      </w:r>
      <w:r w:rsidRPr="006B6B8C">
        <w:rPr>
          <w:rFonts w:ascii="Arial" w:eastAsia="Arial" w:hAnsi="Arial" w:cs="Arial"/>
          <w:sz w:val="22"/>
          <w:szCs w:val="22"/>
        </w:rPr>
        <w:t xml:space="preserve">0 observations (fixed forecasting horizon) for </w:t>
      </w:r>
      <w:r>
        <w:rPr>
          <w:rFonts w:ascii="Arial" w:eastAsia="Arial" w:hAnsi="Arial" w:cs="Arial"/>
          <w:sz w:val="22"/>
          <w:szCs w:val="22"/>
        </w:rPr>
        <w:t xml:space="preserve">the </w:t>
      </w:r>
      <w:r w:rsidRPr="006B6B8C">
        <w:rPr>
          <w:rFonts w:ascii="Arial" w:eastAsia="Arial" w:hAnsi="Arial" w:cs="Arial"/>
          <w:sz w:val="22"/>
          <w:szCs w:val="22"/>
        </w:rPr>
        <w:t xml:space="preserve">competing models (i.e. </w:t>
      </w:r>
      <w:proofErr w:type="gramStart"/>
      <w:r w:rsidRPr="006B6B8C">
        <w:rPr>
          <w:rFonts w:ascii="Arial" w:eastAsia="Arial" w:hAnsi="Arial" w:cs="Arial"/>
          <w:sz w:val="22"/>
          <w:szCs w:val="22"/>
        </w:rPr>
        <w:t>AR(</w:t>
      </w:r>
      <w:proofErr w:type="gramEnd"/>
      <w:r w:rsidRPr="006B6B8C">
        <w:rPr>
          <w:rFonts w:ascii="Arial" w:eastAsia="Arial" w:hAnsi="Arial" w:cs="Arial"/>
          <w:sz w:val="22"/>
          <w:szCs w:val="22"/>
        </w:rPr>
        <w:t xml:space="preserve">1), AR(2) …. </w:t>
      </w:r>
      <w:proofErr w:type="gramStart"/>
      <w:r>
        <w:rPr>
          <w:rFonts w:ascii="Arial" w:eastAsia="Arial" w:hAnsi="Arial" w:cs="Arial"/>
          <w:sz w:val="22"/>
          <w:szCs w:val="22"/>
        </w:rPr>
        <w:t>MA(</w:t>
      </w:r>
      <w:proofErr w:type="gramEnd"/>
      <w:r>
        <w:rPr>
          <w:rFonts w:ascii="Arial" w:eastAsia="Arial" w:hAnsi="Arial" w:cs="Arial"/>
          <w:sz w:val="22"/>
          <w:szCs w:val="22"/>
        </w:rPr>
        <w:t>1), …., ARMA(1,1), ….</w:t>
      </w:r>
      <w:r w:rsidRPr="006B6B8C">
        <w:rPr>
          <w:rFonts w:ascii="Arial" w:eastAsia="Arial" w:hAnsi="Arial" w:cs="Arial"/>
          <w:sz w:val="22"/>
          <w:szCs w:val="22"/>
        </w:rPr>
        <w:t xml:space="preserve">) and choose the best model using the following criterions. </w:t>
      </w:r>
    </w:p>
    <w:p w14:paraId="1F0191E5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tbl>
      <w:tblPr>
        <w:tblW w:w="5000" w:type="pct"/>
        <w:tblInd w:w="700" w:type="dxa"/>
        <w:tblBorders>
          <w:top w:val="single" w:sz="8" w:space="0" w:color="4F81BD"/>
          <w:bottom w:val="single" w:sz="8" w:space="0" w:color="4F81BD"/>
        </w:tblBorders>
        <w:tblLook w:val="0660" w:firstRow="1" w:lastRow="1" w:firstColumn="0" w:lastColumn="0" w:noHBand="1" w:noVBand="1"/>
      </w:tblPr>
      <w:tblGrid>
        <w:gridCol w:w="773"/>
        <w:gridCol w:w="857"/>
        <w:gridCol w:w="1163"/>
        <w:gridCol w:w="1070"/>
        <w:gridCol w:w="885"/>
        <w:gridCol w:w="1251"/>
        <w:gridCol w:w="3027"/>
      </w:tblGrid>
      <w:tr w:rsidR="001D683A" w:rsidRPr="006B6B8C" w14:paraId="74DC9920" w14:textId="77777777" w:rsidTr="00F41811">
        <w:tc>
          <w:tcPr>
            <w:tcW w:w="428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1A46BDA9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AIC</w:t>
            </w:r>
          </w:p>
        </w:tc>
        <w:tc>
          <w:tcPr>
            <w:tcW w:w="475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26E6AA1A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 xml:space="preserve">SBC </w:t>
            </w:r>
          </w:p>
        </w:tc>
        <w:tc>
          <w:tcPr>
            <w:tcW w:w="644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7A1879A3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proofErr w:type="gramStart"/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LM(</w:t>
            </w:r>
            <w:proofErr w:type="gramEnd"/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12)</w:t>
            </w:r>
          </w:p>
        </w:tc>
        <w:tc>
          <w:tcPr>
            <w:tcW w:w="593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17FF6C63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RMSE</w:t>
            </w:r>
          </w:p>
        </w:tc>
        <w:tc>
          <w:tcPr>
            <w:tcW w:w="490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3CEDC358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MAE</w:t>
            </w:r>
          </w:p>
        </w:tc>
        <w:tc>
          <w:tcPr>
            <w:tcW w:w="693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086BD559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MAPE</w:t>
            </w:r>
          </w:p>
        </w:tc>
        <w:tc>
          <w:tcPr>
            <w:tcW w:w="1677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2BE46AA9" w14:textId="77777777" w:rsidR="001D683A" w:rsidRPr="006B6B8C" w:rsidRDefault="001D683A" w:rsidP="00F41811">
            <w:pPr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</w:pPr>
            <w:r w:rsidRPr="006B6B8C">
              <w:rPr>
                <w:b/>
                <w:bCs/>
                <w:i/>
                <w:color w:val="365F91"/>
                <w:sz w:val="22"/>
                <w:szCs w:val="22"/>
                <w:lang w:val="en-US" w:bidi="en-US"/>
              </w:rPr>
              <w:t>THEIL</w:t>
            </w:r>
          </w:p>
        </w:tc>
      </w:tr>
    </w:tbl>
    <w:p w14:paraId="4DEB689F" w14:textId="77777777" w:rsidR="001D683A" w:rsidRDefault="001D683A" w:rsidP="001D683A">
      <w:pPr>
        <w:suppressAutoHyphens/>
        <w:spacing w:line="1" w:lineRule="atLeast"/>
        <w:ind w:left="747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p w14:paraId="5B196950" w14:textId="77777777" w:rsidR="001D683A" w:rsidRDefault="001D683A" w:rsidP="001D683A">
      <w:pPr>
        <w:numPr>
          <w:ilvl w:val="2"/>
          <w:numId w:val="2"/>
        </w:num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  <w:r w:rsidRPr="003E5A49">
        <w:rPr>
          <w:rFonts w:ascii="Arial" w:eastAsia="Arial" w:hAnsi="Arial" w:cs="Arial"/>
          <w:sz w:val="22"/>
          <w:szCs w:val="22"/>
        </w:rPr>
        <w:t xml:space="preserve">Carry out forecasts (Ex-post Out of sample) of the </w:t>
      </w:r>
      <w:r w:rsidRPr="003E5A49">
        <w:rPr>
          <w:rFonts w:ascii="Courier New" w:eastAsia="Courier New" w:hAnsi="Courier New" w:cs="Courier New"/>
          <w:sz w:val="22"/>
          <w:szCs w:val="22"/>
        </w:rPr>
        <w:t xml:space="preserve">e </w:t>
      </w:r>
      <w:r>
        <w:rPr>
          <w:rFonts w:ascii="Arial" w:eastAsia="Arial" w:hAnsi="Arial" w:cs="Arial"/>
          <w:sz w:val="22"/>
          <w:szCs w:val="22"/>
        </w:rPr>
        <w:t>series for the 3</w:t>
      </w:r>
      <w:r w:rsidRPr="003E5A49"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 observations (t+1</w:t>
      </w:r>
      <w:r w:rsidRPr="003E5A49">
        <w:rPr>
          <w:rFonts w:ascii="Arial" w:eastAsia="Arial" w:hAnsi="Arial" w:cs="Arial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>, t+20 and t+3</w:t>
      </w:r>
      <w:r w:rsidRPr="003E5A49">
        <w:rPr>
          <w:rFonts w:ascii="Arial" w:eastAsia="Arial" w:hAnsi="Arial" w:cs="Arial"/>
          <w:sz w:val="22"/>
          <w:szCs w:val="22"/>
        </w:rPr>
        <w:t xml:space="preserve">0) using the chosen model </w:t>
      </w:r>
      <w:r>
        <w:rPr>
          <w:rFonts w:ascii="Arial" w:eastAsia="Arial" w:hAnsi="Arial" w:cs="Arial"/>
          <w:sz w:val="22"/>
          <w:szCs w:val="22"/>
        </w:rPr>
        <w:t xml:space="preserve">from </w:t>
      </w:r>
      <w:r w:rsidRPr="003E5A49">
        <w:rPr>
          <w:rFonts w:ascii="Arial" w:eastAsia="Arial" w:hAnsi="Arial" w:cs="Arial"/>
          <w:sz w:val="22"/>
          <w:szCs w:val="22"/>
        </w:rPr>
        <w:t>part 2(</w:t>
      </w:r>
      <w:r>
        <w:rPr>
          <w:rFonts w:ascii="Arial" w:eastAsia="Arial" w:hAnsi="Arial" w:cs="Arial"/>
          <w:sz w:val="22"/>
          <w:szCs w:val="22"/>
        </w:rPr>
        <w:t>iv</w:t>
      </w:r>
      <w:r w:rsidRPr="003E5A49"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[pay attention to the </w:t>
      </w:r>
      <w:r w:rsidRPr="008865A5">
        <w:t>forecast summary statistics</w:t>
      </w:r>
      <w:r>
        <w:t>]</w:t>
      </w:r>
      <w:r w:rsidRPr="008865A5">
        <w:rPr>
          <w:rFonts w:ascii="Arial" w:eastAsia="Arial" w:hAnsi="Arial" w:cs="Arial"/>
          <w:sz w:val="22"/>
          <w:szCs w:val="22"/>
        </w:rPr>
        <w:t xml:space="preserve"> </w:t>
      </w:r>
      <w:r w:rsidRPr="003E5A49">
        <w:rPr>
          <w:rFonts w:ascii="Arial" w:eastAsia="Arial" w:hAnsi="Arial" w:cs="Arial"/>
          <w:sz w:val="22"/>
          <w:szCs w:val="22"/>
        </w:rPr>
        <w:t xml:space="preserve">and comment on your results. </w:t>
      </w:r>
    </w:p>
    <w:p w14:paraId="78E9FBD3" w14:textId="77777777" w:rsidR="001D683A" w:rsidRPr="003E5A49" w:rsidRDefault="001D683A" w:rsidP="001D683A">
      <w:pPr>
        <w:numPr>
          <w:ilvl w:val="2"/>
          <w:numId w:val="2"/>
        </w:numPr>
        <w:suppressAutoHyphens/>
        <w:spacing w:line="1" w:lineRule="atLeast"/>
        <w:textDirection w:val="btLr"/>
        <w:textAlignment w:val="top"/>
        <w:outlineLvl w:val="0"/>
        <w:rPr>
          <w:rFonts w:ascii="Arial" w:eastAsia="Arial" w:hAnsi="Arial" w:cs="Arial"/>
          <w:sz w:val="22"/>
          <w:szCs w:val="22"/>
        </w:rPr>
      </w:pPr>
    </w:p>
    <w:tbl>
      <w:tblPr>
        <w:tblW w:w="5000" w:type="pct"/>
        <w:tblInd w:w="720" w:type="dxa"/>
        <w:tblBorders>
          <w:top w:val="single" w:sz="8" w:space="0" w:color="4F81BD"/>
          <w:bottom w:val="single" w:sz="8" w:space="0" w:color="4F81BD"/>
        </w:tblBorders>
        <w:tblLook w:val="0660" w:firstRow="1" w:lastRow="1" w:firstColumn="0" w:lastColumn="0" w:noHBand="1" w:noVBand="1"/>
      </w:tblPr>
      <w:tblGrid>
        <w:gridCol w:w="2528"/>
        <w:gridCol w:w="2166"/>
        <w:gridCol w:w="2166"/>
        <w:gridCol w:w="2166"/>
      </w:tblGrid>
      <w:tr w:rsidR="001D683A" w:rsidRPr="00B82AC3" w14:paraId="3BDFDB3B" w14:textId="77777777" w:rsidTr="00F41811">
        <w:tc>
          <w:tcPr>
            <w:tcW w:w="1400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  <w:noWrap/>
          </w:tcPr>
          <w:p w14:paraId="436EBEB8" w14:textId="77777777" w:rsidR="001D683A" w:rsidRPr="00B82AC3" w:rsidRDefault="001D683A" w:rsidP="00F41811">
            <w:pPr>
              <w:rPr>
                <w:b/>
                <w:bCs/>
                <w:color w:val="365F91"/>
                <w:sz w:val="22"/>
                <w:szCs w:val="22"/>
                <w:lang w:val="en-US" w:bidi="en-US"/>
              </w:rPr>
            </w:pPr>
            <w:r w:rsidRPr="00B82AC3"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Out of Sample Horizon</w:t>
            </w:r>
          </w:p>
        </w:tc>
        <w:tc>
          <w:tcPr>
            <w:tcW w:w="1200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0A97766F" w14:textId="77777777" w:rsidR="001D683A" w:rsidRPr="00B82AC3" w:rsidRDefault="001D683A" w:rsidP="00F41811">
            <w:pPr>
              <w:rPr>
                <w:b/>
                <w:bCs/>
                <w:color w:val="365F91"/>
                <w:sz w:val="22"/>
                <w:szCs w:val="22"/>
                <w:lang w:val="en-US" w:bidi="en-US"/>
              </w:rPr>
            </w:pPr>
            <w:r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1</w:t>
            </w:r>
            <w:r w:rsidRPr="00B82AC3"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0 observations</w:t>
            </w:r>
          </w:p>
        </w:tc>
        <w:tc>
          <w:tcPr>
            <w:tcW w:w="1200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6FA72EC7" w14:textId="77777777" w:rsidR="001D683A" w:rsidRPr="00B82AC3" w:rsidRDefault="001D683A" w:rsidP="00F41811">
            <w:pPr>
              <w:rPr>
                <w:b/>
                <w:bCs/>
                <w:color w:val="365F91"/>
                <w:sz w:val="22"/>
                <w:szCs w:val="22"/>
                <w:lang w:val="en-US" w:bidi="en-US"/>
              </w:rPr>
            </w:pPr>
            <w:r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2</w:t>
            </w:r>
            <w:r w:rsidRPr="00B82AC3"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0 observations</w:t>
            </w:r>
          </w:p>
        </w:tc>
        <w:tc>
          <w:tcPr>
            <w:tcW w:w="1200" w:type="pct"/>
            <w:tcBorders>
              <w:top w:val="single" w:sz="8" w:space="0" w:color="5B9BD5"/>
              <w:left w:val="nil"/>
              <w:bottom w:val="single" w:sz="8" w:space="0" w:color="5B9BD5"/>
              <w:right w:val="nil"/>
            </w:tcBorders>
          </w:tcPr>
          <w:p w14:paraId="7BBA79CE" w14:textId="77777777" w:rsidR="001D683A" w:rsidRPr="00B82AC3" w:rsidRDefault="001D683A" w:rsidP="00F41811">
            <w:pPr>
              <w:rPr>
                <w:b/>
                <w:bCs/>
                <w:color w:val="365F91"/>
                <w:sz w:val="22"/>
                <w:szCs w:val="22"/>
                <w:lang w:val="en-US" w:bidi="en-US"/>
              </w:rPr>
            </w:pPr>
            <w:r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3</w:t>
            </w:r>
            <w:r w:rsidRPr="00B82AC3">
              <w:rPr>
                <w:b/>
                <w:bCs/>
                <w:color w:val="365F91"/>
                <w:sz w:val="22"/>
                <w:szCs w:val="22"/>
                <w:lang w:val="en-US" w:bidi="en-US"/>
              </w:rPr>
              <w:t>0 observations</w:t>
            </w:r>
          </w:p>
        </w:tc>
      </w:tr>
    </w:tbl>
    <w:p w14:paraId="15EA48F8" w14:textId="77777777" w:rsidR="001D683A" w:rsidRDefault="001D683A" w:rsidP="001D683A">
      <w:pPr>
        <w:tabs>
          <w:tab w:val="num" w:pos="747"/>
        </w:tabs>
        <w:rPr>
          <w:rFonts w:ascii="Arial" w:hAnsi="Arial" w:cs="Arial"/>
          <w:sz w:val="22"/>
        </w:rPr>
      </w:pPr>
    </w:p>
    <w:p w14:paraId="6CDE3F31" w14:textId="77777777" w:rsidR="001D683A" w:rsidRDefault="001D683A"/>
    <w:sectPr w:rsidR="001D68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048A7"/>
    <w:multiLevelType w:val="multilevel"/>
    <w:tmpl w:val="FF9482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4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9574BD0"/>
    <w:multiLevelType w:val="hybridMultilevel"/>
    <w:tmpl w:val="673E22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F4122C">
      <w:start w:val="1"/>
      <w:numFmt w:val="lowerRoman"/>
      <w:lvlText w:val="%3."/>
      <w:lvlJc w:val="right"/>
      <w:pPr>
        <w:tabs>
          <w:tab w:val="num" w:pos="747"/>
        </w:tabs>
        <w:ind w:left="747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83A"/>
    <w:rsid w:val="001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EA725"/>
  <w15:chartTrackingRefBased/>
  <w15:docId w15:val="{A6B5E73A-D84E-2847-82C3-2F03AC75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83A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 Stephenson</dc:creator>
  <cp:keywords/>
  <dc:description/>
  <cp:lastModifiedBy/>
  <cp:revision>1</cp:revision>
  <dcterms:created xsi:type="dcterms:W3CDTF">2022-03-04T17:24:00Z</dcterms:created>
</cp:coreProperties>
</file>