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11412" w14:textId="3A60EF75"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 xml:space="preserve">Find the article described below and write a </w:t>
      </w:r>
      <w:proofErr w:type="gramStart"/>
      <w:r>
        <w:rPr>
          <w:rFonts w:ascii="Lato" w:hAnsi="Lato"/>
          <w:color w:val="2D3B45"/>
        </w:rPr>
        <w:t>3-4 page</w:t>
      </w:r>
      <w:proofErr w:type="gramEnd"/>
      <w:r>
        <w:rPr>
          <w:rFonts w:ascii="Lato" w:hAnsi="Lato"/>
          <w:color w:val="2D3B45"/>
        </w:rPr>
        <w:t xml:space="preserve"> reaction paper where you consider the arguments and examples and ideas both of the authors express. Please make sure you include enough detail in your discussion of the article to give confidence that you did read it thoroughly and that you understood it (at least to a large extent). </w:t>
      </w:r>
    </w:p>
    <w:p w14:paraId="268E2F41" w14:textId="2C8981CF" w:rsidR="002757CE" w:rsidRDefault="002757CE" w:rsidP="002757CE">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Conditions for intuitive expertise: A failure to disagree.</w:t>
      </w:r>
    </w:p>
    <w:p w14:paraId="37B78AD5"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Authors:</w:t>
      </w:r>
    </w:p>
    <w:p w14:paraId="1755EC64"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Kahneman, Daniel, Woodrow Wilson School of Public and International Affairs, Princeton University, Princeton, NJ, US, </w:t>
      </w:r>
      <w:hyperlink r:id="rId4" w:history="1">
        <w:r>
          <w:rPr>
            <w:rStyle w:val="Hyperlink"/>
            <w:rFonts w:ascii="Lato" w:hAnsi="Lato"/>
          </w:rPr>
          <w:t>kahneman@princeton.edu</w:t>
        </w:r>
      </w:hyperlink>
      <w:r>
        <w:rPr>
          <w:rFonts w:ascii="Lato" w:hAnsi="Lato"/>
          <w:color w:val="2D3B45"/>
        </w:rPr>
        <w:t> </w:t>
      </w:r>
      <w:r>
        <w:rPr>
          <w:rFonts w:ascii="Lato" w:hAnsi="Lato"/>
          <w:color w:val="2D3B45"/>
        </w:rPr>
        <w:br/>
        <w:t>Klein, Gary, Applied Research Associates, Fairborn, OH, US</w:t>
      </w:r>
    </w:p>
    <w:p w14:paraId="565A7817"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Address:</w:t>
      </w:r>
    </w:p>
    <w:p w14:paraId="67BDFA4C"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Kahneman, Daniel, Woodrow Wilson School of Public and International Affairs, Princeton University, Princeton, NJ, US, 08544-0001, </w:t>
      </w:r>
      <w:hyperlink r:id="rId5" w:history="1">
        <w:r>
          <w:rPr>
            <w:rStyle w:val="Hyperlink"/>
            <w:rFonts w:ascii="Lato" w:hAnsi="Lato"/>
          </w:rPr>
          <w:t>kahneman@princeton.edu</w:t>
        </w:r>
      </w:hyperlink>
      <w:r>
        <w:rPr>
          <w:rFonts w:ascii="Lato" w:hAnsi="Lato"/>
          <w:color w:val="2D3B45"/>
        </w:rPr>
        <w:t> </w:t>
      </w:r>
    </w:p>
    <w:p w14:paraId="7E381DAE"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Source:</w:t>
      </w:r>
    </w:p>
    <w:p w14:paraId="49D7A7E1"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 xml:space="preserve">American Psychologist, Vol 64(6), </w:t>
      </w:r>
      <w:proofErr w:type="gramStart"/>
      <w:r>
        <w:rPr>
          <w:rFonts w:ascii="Lato" w:hAnsi="Lato"/>
          <w:color w:val="2D3B45"/>
        </w:rPr>
        <w:t>Sep,</w:t>
      </w:r>
      <w:proofErr w:type="gramEnd"/>
      <w:r>
        <w:rPr>
          <w:rFonts w:ascii="Lato" w:hAnsi="Lato"/>
          <w:color w:val="2D3B45"/>
        </w:rPr>
        <w:t xml:space="preserve"> 2009. pp. 515-526</w:t>
      </w:r>
    </w:p>
    <w:p w14:paraId="71502C64"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Publisher:</w:t>
      </w:r>
    </w:p>
    <w:p w14:paraId="2BC3E760"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US: American Psychological Association</w:t>
      </w:r>
    </w:p>
    <w:p w14:paraId="159008D9"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ISSN:</w:t>
      </w:r>
    </w:p>
    <w:p w14:paraId="51B01E6F"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0003-066X (Print)</w:t>
      </w:r>
      <w:r>
        <w:rPr>
          <w:rFonts w:ascii="Lato" w:hAnsi="Lato"/>
          <w:color w:val="2D3B45"/>
        </w:rPr>
        <w:br/>
        <w:t>1935-990X (Electronic)</w:t>
      </w:r>
    </w:p>
    <w:p w14:paraId="6C8C6B9A"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Language:</w:t>
      </w:r>
    </w:p>
    <w:p w14:paraId="6208E6A2"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English</w:t>
      </w:r>
    </w:p>
    <w:p w14:paraId="0A84C014"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Keywords:</w:t>
      </w:r>
    </w:p>
    <w:p w14:paraId="21C96FF9"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approach differences; professional intuition; intuitive skill; expertise; heuristics &amp; biases; naturalistic decision making; overconfidence; judgment</w:t>
      </w:r>
    </w:p>
    <w:p w14:paraId="47D9597B"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Abstract:</w:t>
      </w:r>
    </w:p>
    <w:p w14:paraId="784A9C19"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 xml:space="preserve">This article reports on an effort to explore the differences between two approaches to intuition and expertise that are often viewed as conflicting: heuristics and biases (HB) and naturalistic decision making (NDM). Starting from the obvious fact that professional intuition is sometimes marvelous and sometimes flawed, the authors attempt to map the boundary conditions that separate true intuitive skill from overconfident and biased impressions. They conclude that evaluating the likely quality of an intuitive judgment requires an assessment of the predictability of the environment in which the judgment is made and of the individual’s opportunity to learn the regularities of that environment. </w:t>
      </w:r>
      <w:r>
        <w:rPr>
          <w:rFonts w:ascii="Lato" w:hAnsi="Lato"/>
          <w:color w:val="2D3B45"/>
        </w:rPr>
        <w:lastRenderedPageBreak/>
        <w:t>Subjective experience is not a reliable indicator of judgment accuracy. (PsycINFO Database Record (c) 2010 APA, all rights reserved) (from the journal abstract)</w:t>
      </w:r>
    </w:p>
    <w:p w14:paraId="615351CF"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Subjects:</w:t>
      </w:r>
    </w:p>
    <w:p w14:paraId="54764D3C"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*Experience Level; *Heuristics; *Intuition; *Judgment; *Self Confidence; Cognitive Bias; Decision Making; Theoretical Interpretation</w:t>
      </w:r>
    </w:p>
    <w:p w14:paraId="597DEB3C"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Classification:</w:t>
      </w:r>
    </w:p>
    <w:p w14:paraId="4EB640FA"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Professional Personnel Attitudes &amp; Characteristics (3430)</w:t>
      </w:r>
    </w:p>
    <w:p w14:paraId="40E78B0A"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Population:</w:t>
      </w:r>
    </w:p>
    <w:p w14:paraId="0DCDDEC5"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Human (10)</w:t>
      </w:r>
    </w:p>
    <w:p w14:paraId="2DE7E0C4"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Format Availability:</w:t>
      </w:r>
    </w:p>
    <w:p w14:paraId="33A697B2"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Electronic; Print</w:t>
      </w:r>
    </w:p>
    <w:p w14:paraId="19164F00"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Format Covered:</w:t>
      </w:r>
    </w:p>
    <w:p w14:paraId="07E1637B"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Electronic</w:t>
      </w:r>
    </w:p>
    <w:p w14:paraId="6CB22D2A"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Publication Type:</w:t>
      </w:r>
    </w:p>
    <w:p w14:paraId="0A7B890A"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Journal; Peer Reviewed Journal</w:t>
      </w:r>
    </w:p>
    <w:p w14:paraId="404503F3"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Document Type:</w:t>
      </w:r>
    </w:p>
    <w:p w14:paraId="32B54769"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Journal Article</w:t>
      </w:r>
    </w:p>
    <w:p w14:paraId="6F816195"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Release Date:</w:t>
      </w:r>
    </w:p>
    <w:p w14:paraId="5189742F"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20090907</w:t>
      </w:r>
    </w:p>
    <w:p w14:paraId="213B0E03"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Copyright:</w:t>
      </w:r>
    </w:p>
    <w:p w14:paraId="719541E2"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American Psychological Association. 2009.</w:t>
      </w:r>
    </w:p>
    <w:p w14:paraId="060D6F2B"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Digital Object Identifier:</w:t>
      </w:r>
    </w:p>
    <w:p w14:paraId="4C6E8608"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10.1037/a0016755</w:t>
      </w:r>
    </w:p>
    <w:p w14:paraId="4718D0B3"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PsycINFO AN:</w:t>
      </w:r>
    </w:p>
    <w:p w14:paraId="1E0B3D2B"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2009-13007-001</w:t>
      </w:r>
    </w:p>
    <w:p w14:paraId="303661CE"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Accession Number:</w:t>
      </w:r>
    </w:p>
    <w:p w14:paraId="3152E4BE" w14:textId="77777777" w:rsidR="002757CE" w:rsidRDefault="002757CE" w:rsidP="002757CE">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amp-64-6-515</w:t>
      </w:r>
    </w:p>
    <w:p w14:paraId="541E1CBF"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Number of Citations in Source:</w:t>
      </w:r>
    </w:p>
    <w:p w14:paraId="2241AF6B"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lastRenderedPageBreak/>
        <w:t>70</w:t>
      </w:r>
    </w:p>
    <w:p w14:paraId="4CF36227" w14:textId="77777777" w:rsidR="002757CE" w:rsidRDefault="002757CE" w:rsidP="002757CE">
      <w:pPr>
        <w:pStyle w:val="NormalWeb"/>
        <w:shd w:val="clear" w:color="auto" w:fill="FFFFFF"/>
        <w:spacing w:before="180" w:beforeAutospacing="0" w:after="180" w:afterAutospacing="0"/>
        <w:rPr>
          <w:rFonts w:ascii="Lato" w:hAnsi="Lato"/>
          <w:color w:val="2D3B45"/>
        </w:rPr>
      </w:pPr>
      <w:r>
        <w:rPr>
          <w:rFonts w:ascii="Lato" w:hAnsi="Lato"/>
          <w:color w:val="2D3B45"/>
        </w:rPr>
        <w:t>Database:</w:t>
      </w:r>
    </w:p>
    <w:p w14:paraId="30095A8B" w14:textId="77777777" w:rsidR="002757CE" w:rsidRDefault="002757CE" w:rsidP="002757CE">
      <w:pPr>
        <w:pStyle w:val="NormalWeb"/>
        <w:shd w:val="clear" w:color="auto" w:fill="FFFFFF"/>
        <w:spacing w:before="180" w:beforeAutospacing="0" w:after="180" w:afterAutospacing="0"/>
        <w:rPr>
          <w:rFonts w:ascii="Lato" w:hAnsi="Lato"/>
          <w:color w:val="2D3B45"/>
        </w:rPr>
      </w:pPr>
      <w:proofErr w:type="spellStart"/>
      <w:r>
        <w:rPr>
          <w:rFonts w:ascii="Lato" w:hAnsi="Lato"/>
          <w:color w:val="2D3B45"/>
        </w:rPr>
        <w:t>PsycARTICLES</w:t>
      </w:r>
      <w:proofErr w:type="spellEnd"/>
    </w:p>
    <w:p w14:paraId="1FB172BD" w14:textId="77777777" w:rsidR="00F37E16" w:rsidRDefault="00F37E16"/>
    <w:sectPr w:rsidR="00F37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7CE"/>
    <w:rsid w:val="002757CE"/>
    <w:rsid w:val="00F37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E76D2"/>
  <w15:chartTrackingRefBased/>
  <w15:docId w15:val="{D06A974E-5A64-4957-8476-FA3D0F3E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57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57CE"/>
    <w:rPr>
      <w:b/>
      <w:bCs/>
    </w:rPr>
  </w:style>
  <w:style w:type="character" w:styleId="Hyperlink">
    <w:name w:val="Hyperlink"/>
    <w:basedOn w:val="DefaultParagraphFont"/>
    <w:uiPriority w:val="99"/>
    <w:semiHidden/>
    <w:unhideWhenUsed/>
    <w:rsid w:val="00275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2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hneman@princeton.edu" TargetMode="External"/><Relationship Id="rId4" Type="http://schemas.openxmlformats.org/officeDocument/2006/relationships/hyperlink" Target="mailto:kahneman@prince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Saimon</dc:creator>
  <cp:keywords/>
  <dc:description/>
  <cp:lastModifiedBy>Saimon</cp:lastModifiedBy>
  <cp:revision>1</cp:revision>
  <dcterms:created xsi:type="dcterms:W3CDTF">2022-09-28T20:55:00Z</dcterms:created>
  <dcterms:modified xsi:type="dcterms:W3CDTF">2022-09-28T20:56:00Z</dcterms:modified>
</cp:coreProperties>
</file>