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C94DA" w14:textId="77777777" w:rsidR="00B92847" w:rsidRPr="00061114" w:rsidRDefault="00B92847" w:rsidP="009A372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1114">
        <w:rPr>
          <w:rFonts w:ascii="Times New Roman" w:eastAsia="Calibri" w:hAnsi="Times New Roman" w:cs="Times New Roman"/>
          <w:b/>
          <w:sz w:val="28"/>
          <w:szCs w:val="28"/>
        </w:rPr>
        <w:t>Reflection Paper</w:t>
      </w:r>
    </w:p>
    <w:p w14:paraId="4337CB12" w14:textId="77777777" w:rsidR="00F93B3E" w:rsidRPr="00061114" w:rsidRDefault="000A6F07" w:rsidP="004E5BD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114">
        <w:rPr>
          <w:rFonts w:ascii="Times New Roman" w:eastAsia="Calibri" w:hAnsi="Times New Roman" w:cs="Times New Roman"/>
          <w:sz w:val="24"/>
          <w:szCs w:val="24"/>
        </w:rPr>
        <w:t>Prepare a short (around 8-10 pages) reflection</w:t>
      </w:r>
      <w:r w:rsidR="00B92847" w:rsidRPr="00061114">
        <w:rPr>
          <w:rFonts w:ascii="Times New Roman" w:eastAsia="Calibri" w:hAnsi="Times New Roman" w:cs="Times New Roman"/>
          <w:sz w:val="24"/>
          <w:szCs w:val="24"/>
        </w:rPr>
        <w:t xml:space="preserve"> paper </w:t>
      </w:r>
      <w:r w:rsidRPr="00061114">
        <w:rPr>
          <w:rFonts w:ascii="Times New Roman" w:eastAsia="Calibri" w:hAnsi="Times New Roman" w:cs="Times New Roman"/>
          <w:sz w:val="24"/>
          <w:szCs w:val="24"/>
        </w:rPr>
        <w:t xml:space="preserve">examining recent economic and financial developments and/or reacting to </w:t>
      </w:r>
      <w:r w:rsidR="004E5BDC" w:rsidRPr="00061114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061114">
        <w:rPr>
          <w:rFonts w:ascii="Times New Roman" w:eastAsia="Calibri" w:hAnsi="Times New Roman" w:cs="Times New Roman"/>
          <w:sz w:val="24"/>
          <w:szCs w:val="24"/>
        </w:rPr>
        <w:t xml:space="preserve">specific </w:t>
      </w:r>
      <w:r w:rsidR="004E5BDC" w:rsidRPr="00061114">
        <w:rPr>
          <w:rFonts w:ascii="Times New Roman" w:eastAsia="Calibri" w:hAnsi="Times New Roman" w:cs="Times New Roman"/>
          <w:sz w:val="24"/>
          <w:szCs w:val="24"/>
        </w:rPr>
        <w:t xml:space="preserve">seminar, a </w:t>
      </w:r>
      <w:r w:rsidRPr="00061114">
        <w:rPr>
          <w:rFonts w:ascii="Times New Roman" w:eastAsia="Calibri" w:hAnsi="Times New Roman" w:cs="Times New Roman"/>
          <w:sz w:val="24"/>
          <w:szCs w:val="24"/>
        </w:rPr>
        <w:t xml:space="preserve">published </w:t>
      </w:r>
      <w:r w:rsidR="004E5BDC" w:rsidRPr="00061114">
        <w:rPr>
          <w:rFonts w:ascii="Times New Roman" w:eastAsia="Calibri" w:hAnsi="Times New Roman" w:cs="Times New Roman"/>
          <w:sz w:val="24"/>
          <w:szCs w:val="24"/>
        </w:rPr>
        <w:t xml:space="preserve">study or </w:t>
      </w:r>
      <w:r w:rsidR="00933B0E" w:rsidRPr="00061114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4E5BDC" w:rsidRPr="00061114">
        <w:rPr>
          <w:rFonts w:ascii="Times New Roman" w:eastAsia="Calibri" w:hAnsi="Times New Roman" w:cs="Times New Roman"/>
          <w:sz w:val="24"/>
          <w:szCs w:val="24"/>
        </w:rPr>
        <w:t>selection of studies</w:t>
      </w:r>
      <w:r w:rsidRPr="00061114">
        <w:rPr>
          <w:rFonts w:ascii="Times New Roman" w:eastAsia="Calibri" w:hAnsi="Times New Roman" w:cs="Times New Roman"/>
          <w:sz w:val="24"/>
          <w:szCs w:val="24"/>
        </w:rPr>
        <w:t xml:space="preserve"> used and discussed in our class.</w:t>
      </w:r>
    </w:p>
    <w:p w14:paraId="4E764C6D" w14:textId="77777777" w:rsidR="00C50A82" w:rsidRPr="00061114" w:rsidRDefault="00C50A82" w:rsidP="009A372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5ED81A" w14:textId="77777777" w:rsidR="00F93B3E" w:rsidRPr="00061114" w:rsidRDefault="00F93B3E" w:rsidP="009A37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61114">
        <w:rPr>
          <w:rFonts w:ascii="Times New Roman" w:hAnsi="Times New Roman" w:cs="Times New Roman"/>
          <w:b/>
          <w:sz w:val="24"/>
          <w:szCs w:val="24"/>
        </w:rPr>
        <w:t>General features of a reflection paper:</w:t>
      </w:r>
    </w:p>
    <w:p w14:paraId="70952380" w14:textId="77777777" w:rsidR="00C50A82" w:rsidRPr="00061114" w:rsidRDefault="00C50A82" w:rsidP="009A372C">
      <w:pPr>
        <w:pStyle w:val="NormalWeb"/>
        <w:spacing w:before="0" w:beforeAutospacing="0" w:after="0" w:afterAutospacing="0" w:line="375" w:lineRule="atLeast"/>
        <w:textAlignment w:val="baseline"/>
      </w:pPr>
    </w:p>
    <w:p w14:paraId="247FDF56" w14:textId="77777777" w:rsidR="00887AD2" w:rsidRPr="00061114" w:rsidRDefault="00A2583A" w:rsidP="004E5BDC">
      <w:pPr>
        <w:pStyle w:val="NormalWeb"/>
        <w:spacing w:before="0" w:beforeAutospacing="0" w:after="0" w:afterAutospacing="0" w:line="360" w:lineRule="auto"/>
        <w:jc w:val="both"/>
        <w:textAlignment w:val="baseline"/>
      </w:pPr>
      <w:r w:rsidRPr="00061114">
        <w:t>A r</w:t>
      </w:r>
      <w:r w:rsidR="00887AD2" w:rsidRPr="00061114">
        <w:t>efle</w:t>
      </w:r>
      <w:r w:rsidRPr="00061114">
        <w:t xml:space="preserve">ction paper allows you to express </w:t>
      </w:r>
      <w:r w:rsidR="00887AD2" w:rsidRPr="00061114">
        <w:t xml:space="preserve">your experience and </w:t>
      </w:r>
      <w:r w:rsidR="004E5BDC" w:rsidRPr="00061114">
        <w:t xml:space="preserve">your own </w:t>
      </w:r>
      <w:r w:rsidR="00887AD2" w:rsidRPr="00061114">
        <w:t>evaluation of an observed process</w:t>
      </w:r>
      <w:r w:rsidR="009A372C" w:rsidRPr="00061114">
        <w:t>, a seminar meeting</w:t>
      </w:r>
      <w:r w:rsidR="00887AD2" w:rsidRPr="00061114">
        <w:t xml:space="preserve"> or a published article</w:t>
      </w:r>
      <w:r w:rsidRPr="00061114">
        <w:t xml:space="preserve">(s) addressing a single </w:t>
      </w:r>
      <w:r w:rsidR="009A372C" w:rsidRPr="00061114">
        <w:t>analytical</w:t>
      </w:r>
      <w:r w:rsidRPr="00061114">
        <w:t xml:space="preserve"> problem. By its very nature, a reflection paper contains your personal opinion and evaluation of the reviewed </w:t>
      </w:r>
      <w:r w:rsidR="009A372C" w:rsidRPr="00061114">
        <w:t>material</w:t>
      </w:r>
      <w:r w:rsidRPr="00061114">
        <w:t xml:space="preserve">. </w:t>
      </w:r>
      <w:r w:rsidR="00887AD2" w:rsidRPr="00061114">
        <w:t xml:space="preserve"> </w:t>
      </w:r>
      <w:r w:rsidRPr="00061114">
        <w:t xml:space="preserve">Nevertheless, a reflection paper has to maintain </w:t>
      </w:r>
      <w:r w:rsidR="004B59BF" w:rsidRPr="00061114">
        <w:t xml:space="preserve">the </w:t>
      </w:r>
      <w:r w:rsidR="009A372C" w:rsidRPr="00061114">
        <w:t xml:space="preserve">graduate-level </w:t>
      </w:r>
      <w:r w:rsidR="003A3AC6" w:rsidRPr="00061114">
        <w:t>analytical quality</w:t>
      </w:r>
      <w:r w:rsidR="009A372C" w:rsidRPr="00061114">
        <w:t xml:space="preserve"> </w:t>
      </w:r>
      <w:r w:rsidR="003A3AC6" w:rsidRPr="00061114">
        <w:t>of</w:t>
      </w:r>
      <w:r w:rsidRPr="00061114">
        <w:t xml:space="preserve"> expression and </w:t>
      </w:r>
      <w:r w:rsidR="004B59BF" w:rsidRPr="00061114">
        <w:t xml:space="preserve">it </w:t>
      </w:r>
      <w:r w:rsidRPr="00061114">
        <w:t xml:space="preserve">needs to be </w:t>
      </w:r>
      <w:r w:rsidR="00887AD2" w:rsidRPr="00061114">
        <w:t xml:space="preserve">cohesively organized. </w:t>
      </w:r>
    </w:p>
    <w:p w14:paraId="58A7A734" w14:textId="77777777" w:rsidR="009A372C" w:rsidRPr="00061114" w:rsidRDefault="009A372C" w:rsidP="004E5BD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14:paraId="32C6623D" w14:textId="77777777" w:rsidR="00F93B3E" w:rsidRPr="00061114" w:rsidRDefault="00F93B3E" w:rsidP="009A372C">
      <w:pPr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06111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Organization of your paper:</w:t>
      </w:r>
    </w:p>
    <w:p w14:paraId="7FB38AA9" w14:textId="77777777" w:rsidR="00F93B3E" w:rsidRPr="00061114" w:rsidRDefault="00F93B3E" w:rsidP="009A372C">
      <w:pPr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14:paraId="25DB60B2" w14:textId="77777777" w:rsidR="00A00ED1" w:rsidRPr="00061114" w:rsidRDefault="003A3AC6" w:rsidP="004E5BD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0611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Begin with t</w:t>
      </w:r>
      <w:r w:rsidR="00F93B3E" w:rsidRPr="000611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he introduction paragraph </w:t>
      </w:r>
      <w:r w:rsidR="00A00ED1" w:rsidRPr="000611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that identifies and explains the subject. Follow up with a statement of your initial reaction that reflects relevance of the subject matter, lessons learned, and your points of agreement or disagreement </w:t>
      </w:r>
      <w:r w:rsidR="007B0B93" w:rsidRPr="000611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with the reviewed</w:t>
      </w:r>
      <w:r w:rsidR="00A00ED1" w:rsidRPr="000611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material. Begin each paragraph in the body of your paper with a topic sentence. Follow up with your reaction and provide evidence supporting your discussion points. In the concluding paragraph, recap</w:t>
      </w:r>
      <w:r w:rsidR="006D70E9" w:rsidRPr="000611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your major points and provide a closing statement.</w:t>
      </w:r>
    </w:p>
    <w:p w14:paraId="403DD7BE" w14:textId="6D5E0440" w:rsidR="00011D4C" w:rsidRPr="004D6D48" w:rsidRDefault="004D6D48" w:rsidP="004D6D48">
      <w:pPr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TOPIC</w:t>
      </w:r>
    </w:p>
    <w:p w14:paraId="2E0752E6" w14:textId="11F692C0" w:rsidR="00011D4C" w:rsidRPr="007F7713" w:rsidRDefault="00011D4C" w:rsidP="004D6D48">
      <w:pPr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bdr w:val="none" w:sz="0" w:space="0" w:color="auto" w:frame="1"/>
        </w:rPr>
      </w:pPr>
      <w:r w:rsidRPr="007F7713">
        <w:rPr>
          <w:rFonts w:ascii="Times New Roman" w:eastAsia="Times New Roman" w:hAnsi="Times New Roman" w:cs="Times New Roman"/>
          <w:b/>
          <w:sz w:val="36"/>
          <w:szCs w:val="36"/>
          <w:bdr w:val="none" w:sz="0" w:space="0" w:color="auto" w:frame="1"/>
        </w:rPr>
        <w:t>Inflation risk and monetary policy responses.</w:t>
      </w:r>
    </w:p>
    <w:p w14:paraId="3338C3A2" w14:textId="77777777" w:rsidR="007145B9" w:rsidRDefault="007145B9" w:rsidP="007145B9">
      <w:pPr>
        <w:spacing w:after="0" w:line="37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14:paraId="382571EB" w14:textId="77777777" w:rsidR="007145B9" w:rsidRDefault="007145B9" w:rsidP="007145B9">
      <w:pPr>
        <w:spacing w:after="0" w:line="37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14:paraId="55B54EF4" w14:textId="77777777" w:rsidR="00D379D8" w:rsidRDefault="00D379D8" w:rsidP="007145B9">
      <w:pPr>
        <w:spacing w:after="0" w:line="37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14:paraId="27A2D66F" w14:textId="5614AE69" w:rsidR="00D379D8" w:rsidRPr="00D379D8" w:rsidRDefault="00D379D8" w:rsidP="007145B9">
      <w:pPr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D379D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NB. Please find a way to site a couple of the papers below:</w:t>
      </w:r>
    </w:p>
    <w:p w14:paraId="2D093A77" w14:textId="77777777" w:rsidR="00D379D8" w:rsidRDefault="00D379D8" w:rsidP="007145B9">
      <w:pPr>
        <w:spacing w:after="0" w:line="37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14:paraId="2BC30FB2" w14:textId="77777777" w:rsidR="00D379D8" w:rsidRDefault="00D379D8" w:rsidP="007145B9">
      <w:pPr>
        <w:pStyle w:val="Heading1"/>
      </w:pPr>
    </w:p>
    <w:p w14:paraId="1465BA5E" w14:textId="77777777" w:rsidR="00D379D8" w:rsidRDefault="00D379D8" w:rsidP="007145B9">
      <w:pPr>
        <w:pStyle w:val="Heading1"/>
      </w:pPr>
    </w:p>
    <w:p w14:paraId="7273E169" w14:textId="77777777" w:rsidR="00D379D8" w:rsidRPr="00D379D8" w:rsidRDefault="00D379D8" w:rsidP="00D379D8">
      <w:bookmarkStart w:id="0" w:name="_GoBack"/>
      <w:bookmarkEnd w:id="0"/>
    </w:p>
    <w:p w14:paraId="1DAB7507" w14:textId="77777777" w:rsidR="00D379D8" w:rsidRDefault="00D379D8" w:rsidP="007145B9">
      <w:pPr>
        <w:pStyle w:val="Heading1"/>
      </w:pPr>
    </w:p>
    <w:p w14:paraId="2806223B" w14:textId="77777777" w:rsidR="007145B9" w:rsidRDefault="007145B9" w:rsidP="007145B9">
      <w:pPr>
        <w:pStyle w:val="Heading1"/>
      </w:pPr>
      <w:r>
        <w:t xml:space="preserve">Course Materials  </w:t>
      </w:r>
    </w:p>
    <w:p w14:paraId="0E5BEA3C" w14:textId="77777777" w:rsidR="007145B9" w:rsidRDefault="007145B9" w:rsidP="007145B9">
      <w:pPr>
        <w:pStyle w:val="Heading1"/>
      </w:pPr>
    </w:p>
    <w:p w14:paraId="7735A722" w14:textId="77777777" w:rsidR="007145B9" w:rsidRPr="001B3BB1" w:rsidRDefault="007145B9" w:rsidP="007145B9">
      <w:pPr>
        <w:rPr>
          <w:rFonts w:ascii="Times New Roman" w:hAnsi="Times New Roman"/>
          <w:szCs w:val="24"/>
        </w:rPr>
      </w:pPr>
      <w:proofErr w:type="spellStart"/>
      <w:r w:rsidRPr="001B3BB1">
        <w:rPr>
          <w:rFonts w:ascii="Times New Roman" w:hAnsi="Times New Roman"/>
          <w:szCs w:val="24"/>
        </w:rPr>
        <w:t>Altinkeski</w:t>
      </w:r>
      <w:proofErr w:type="spellEnd"/>
      <w:r w:rsidRPr="001B3BB1">
        <w:rPr>
          <w:rFonts w:ascii="Times New Roman" w:hAnsi="Times New Roman"/>
          <w:szCs w:val="24"/>
        </w:rPr>
        <w:t xml:space="preserve">, B.K., </w:t>
      </w:r>
      <w:proofErr w:type="spellStart"/>
      <w:r>
        <w:rPr>
          <w:rFonts w:ascii="Times New Roman" w:hAnsi="Times New Roman"/>
          <w:szCs w:val="24"/>
        </w:rPr>
        <w:t>Cevik</w:t>
      </w:r>
      <w:proofErr w:type="spellEnd"/>
      <w:r>
        <w:rPr>
          <w:rFonts w:ascii="Times New Roman" w:hAnsi="Times New Roman"/>
          <w:szCs w:val="24"/>
        </w:rPr>
        <w:t xml:space="preserve">, E.I., </w:t>
      </w:r>
      <w:proofErr w:type="spellStart"/>
      <w:r>
        <w:rPr>
          <w:rFonts w:ascii="Times New Roman" w:hAnsi="Times New Roman"/>
          <w:szCs w:val="24"/>
        </w:rPr>
        <w:t>Dibooglu</w:t>
      </w:r>
      <w:proofErr w:type="spellEnd"/>
      <w:r>
        <w:rPr>
          <w:rFonts w:ascii="Times New Roman" w:hAnsi="Times New Roman"/>
          <w:szCs w:val="24"/>
        </w:rPr>
        <w:t xml:space="preserve">, S., </w:t>
      </w:r>
      <w:proofErr w:type="spellStart"/>
      <w:r>
        <w:rPr>
          <w:rFonts w:ascii="Times New Roman" w:hAnsi="Times New Roman"/>
          <w:szCs w:val="24"/>
        </w:rPr>
        <w:t>Kutan</w:t>
      </w:r>
      <w:proofErr w:type="spellEnd"/>
      <w:r>
        <w:rPr>
          <w:rFonts w:ascii="Times New Roman" w:hAnsi="Times New Roman"/>
          <w:szCs w:val="24"/>
        </w:rPr>
        <w:t xml:space="preserve">, A.M., 2022. Financial stress transmission between the U.S. and the Euro area. </w:t>
      </w:r>
      <w:r w:rsidRPr="001B3BB1">
        <w:rPr>
          <w:rFonts w:ascii="Times New Roman" w:hAnsi="Times New Roman"/>
          <w:i/>
          <w:iCs/>
          <w:szCs w:val="24"/>
        </w:rPr>
        <w:t>Journal of Financial Stability</w:t>
      </w:r>
      <w:r>
        <w:rPr>
          <w:rFonts w:ascii="Times New Roman" w:hAnsi="Times New Roman"/>
          <w:szCs w:val="24"/>
        </w:rPr>
        <w:t xml:space="preserve"> 60, no. 101004. </w:t>
      </w:r>
    </w:p>
    <w:p w14:paraId="6059AB0D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</w:p>
    <w:p w14:paraId="6B03FA8C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Aslund</w:t>
      </w:r>
      <w:proofErr w:type="spellEnd"/>
      <w:r>
        <w:rPr>
          <w:rFonts w:ascii="Times New Roman" w:hAnsi="Times New Roman"/>
          <w:szCs w:val="24"/>
        </w:rPr>
        <w:t xml:space="preserve">, A. 2019. Russia’s crony capitalism: the path from market economy to </w:t>
      </w:r>
      <w:proofErr w:type="spellStart"/>
      <w:r>
        <w:rPr>
          <w:rFonts w:ascii="Times New Roman" w:hAnsi="Times New Roman"/>
          <w:szCs w:val="24"/>
        </w:rPr>
        <w:t>kleptocracy</w:t>
      </w:r>
      <w:proofErr w:type="spellEnd"/>
      <w:r>
        <w:rPr>
          <w:rFonts w:ascii="Times New Roman" w:hAnsi="Times New Roman"/>
          <w:szCs w:val="24"/>
        </w:rPr>
        <w:t>. Yale University Press.</w:t>
      </w:r>
    </w:p>
    <w:p w14:paraId="12AFAB1F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</w:p>
    <w:p w14:paraId="78448B37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Astrov</w:t>
      </w:r>
      <w:proofErr w:type="gramStart"/>
      <w:r>
        <w:rPr>
          <w:rFonts w:ascii="Times New Roman" w:hAnsi="Times New Roman"/>
          <w:szCs w:val="24"/>
        </w:rPr>
        <w:t>,V</w:t>
      </w:r>
      <w:proofErr w:type="spellEnd"/>
      <w:proofErr w:type="gramEnd"/>
      <w:r>
        <w:rPr>
          <w:rFonts w:ascii="Times New Roman" w:hAnsi="Times New Roman"/>
          <w:szCs w:val="24"/>
        </w:rPr>
        <w:t xml:space="preserve">., </w:t>
      </w:r>
      <w:proofErr w:type="spellStart"/>
      <w:r>
        <w:rPr>
          <w:rFonts w:ascii="Times New Roman" w:hAnsi="Times New Roman"/>
          <w:szCs w:val="24"/>
        </w:rPr>
        <w:t>Ghodsi</w:t>
      </w:r>
      <w:proofErr w:type="spellEnd"/>
      <w:r>
        <w:rPr>
          <w:rFonts w:ascii="Times New Roman" w:hAnsi="Times New Roman"/>
          <w:szCs w:val="24"/>
        </w:rPr>
        <w:t xml:space="preserve">, M., Grieveson, R.,  </w:t>
      </w:r>
      <w:proofErr w:type="spellStart"/>
      <w:r>
        <w:rPr>
          <w:rFonts w:ascii="Times New Roman" w:hAnsi="Times New Roman"/>
          <w:szCs w:val="24"/>
        </w:rPr>
        <w:t>Holzner</w:t>
      </w:r>
      <w:proofErr w:type="spellEnd"/>
      <w:r>
        <w:rPr>
          <w:rFonts w:ascii="Times New Roman" w:hAnsi="Times New Roman"/>
          <w:szCs w:val="24"/>
        </w:rPr>
        <w:t xml:space="preserve">, M., </w:t>
      </w:r>
      <w:proofErr w:type="spellStart"/>
      <w:r>
        <w:rPr>
          <w:rFonts w:ascii="Times New Roman" w:hAnsi="Times New Roman"/>
          <w:szCs w:val="24"/>
        </w:rPr>
        <w:t>Landesmann</w:t>
      </w:r>
      <w:proofErr w:type="spellEnd"/>
      <w:r>
        <w:rPr>
          <w:rFonts w:ascii="Times New Roman" w:hAnsi="Times New Roman"/>
          <w:szCs w:val="24"/>
        </w:rPr>
        <w:t xml:space="preserve">, M., </w:t>
      </w:r>
      <w:proofErr w:type="spellStart"/>
      <w:r>
        <w:rPr>
          <w:rFonts w:ascii="Times New Roman" w:hAnsi="Times New Roman"/>
          <w:szCs w:val="24"/>
        </w:rPr>
        <w:t>Pindyuk</w:t>
      </w:r>
      <w:proofErr w:type="spellEnd"/>
      <w:r>
        <w:rPr>
          <w:rFonts w:ascii="Times New Roman" w:hAnsi="Times New Roman"/>
          <w:szCs w:val="24"/>
        </w:rPr>
        <w:t xml:space="preserve">, O., </w:t>
      </w:r>
      <w:proofErr w:type="spellStart"/>
      <w:r>
        <w:rPr>
          <w:rFonts w:ascii="Times New Roman" w:hAnsi="Times New Roman"/>
          <w:szCs w:val="24"/>
        </w:rPr>
        <w:t>Stehrer</w:t>
      </w:r>
      <w:proofErr w:type="spellEnd"/>
      <w:r>
        <w:rPr>
          <w:rFonts w:ascii="Times New Roman" w:hAnsi="Times New Roman"/>
          <w:szCs w:val="24"/>
        </w:rPr>
        <w:t xml:space="preserve">, R., </w:t>
      </w:r>
      <w:proofErr w:type="spellStart"/>
      <w:r>
        <w:rPr>
          <w:rFonts w:ascii="Times New Roman" w:hAnsi="Times New Roman"/>
          <w:szCs w:val="24"/>
        </w:rPr>
        <w:t>Tverdostup</w:t>
      </w:r>
      <w:proofErr w:type="spellEnd"/>
      <w:r>
        <w:rPr>
          <w:rFonts w:ascii="Times New Roman" w:hAnsi="Times New Roman"/>
          <w:szCs w:val="24"/>
        </w:rPr>
        <w:t xml:space="preserve">, M., 2022. Russia’s invasion of Ukraine: Assessment of the humanitarian, economic and financial impact in the short and medium term. WIIW – Vienna Institute for International Economic Studies: Policy Notes and Reports no. 59, April. </w:t>
      </w:r>
    </w:p>
    <w:p w14:paraId="789DBDB4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</w:p>
    <w:p w14:paraId="5683A4FD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International Monetary Fund, 2022. Global Financial Stability Report. April.</w:t>
      </w:r>
    </w:p>
    <w:p w14:paraId="135D6ED5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</w:p>
    <w:p w14:paraId="02718A98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International Monetary Fund, 2022. World Economic Outlook. April. </w:t>
      </w:r>
    </w:p>
    <w:p w14:paraId="58DE98F2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</w:p>
    <w:p w14:paraId="6E9E70CD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Kirschenbaum, J., </w:t>
      </w:r>
      <w:proofErr w:type="spellStart"/>
      <w:r>
        <w:rPr>
          <w:rFonts w:ascii="Times New Roman" w:hAnsi="Times New Roman"/>
          <w:szCs w:val="24"/>
        </w:rPr>
        <w:t>Véron</w:t>
      </w:r>
      <w:proofErr w:type="spellEnd"/>
      <w:r>
        <w:rPr>
          <w:rFonts w:ascii="Times New Roman" w:hAnsi="Times New Roman"/>
          <w:szCs w:val="24"/>
        </w:rPr>
        <w:t xml:space="preserve">, 2022. War in Europe: the financial front. </w:t>
      </w:r>
      <w:proofErr w:type="spellStart"/>
      <w:r>
        <w:rPr>
          <w:rFonts w:ascii="Times New Roman" w:hAnsi="Times New Roman"/>
          <w:szCs w:val="24"/>
        </w:rPr>
        <w:t>Breugel</w:t>
      </w:r>
      <w:proofErr w:type="spellEnd"/>
      <w:r>
        <w:rPr>
          <w:rFonts w:ascii="Times New Roman" w:hAnsi="Times New Roman"/>
          <w:szCs w:val="24"/>
        </w:rPr>
        <w:t xml:space="preserve"> Institute, Brussels, March 7.</w:t>
      </w:r>
    </w:p>
    <w:p w14:paraId="4F5A671A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</w:p>
    <w:p w14:paraId="5A322962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Korn</w:t>
      </w:r>
      <w:proofErr w:type="spellEnd"/>
      <w:r>
        <w:rPr>
          <w:rFonts w:ascii="Times New Roman" w:hAnsi="Times New Roman"/>
          <w:szCs w:val="24"/>
        </w:rPr>
        <w:t xml:space="preserve">, T., </w:t>
      </w:r>
      <w:proofErr w:type="spellStart"/>
      <w:r>
        <w:rPr>
          <w:rFonts w:ascii="Times New Roman" w:hAnsi="Times New Roman"/>
          <w:szCs w:val="24"/>
        </w:rPr>
        <w:t>Stemmler</w:t>
      </w:r>
      <w:proofErr w:type="spellEnd"/>
      <w:r>
        <w:rPr>
          <w:rFonts w:ascii="Times New Roman" w:hAnsi="Times New Roman"/>
          <w:szCs w:val="24"/>
        </w:rPr>
        <w:t>, H., 2022. Russia’s war against Ukraine might persistently shift global supply chains. VOX/CEPR Policy Portal, March 31.</w:t>
      </w:r>
    </w:p>
    <w:p w14:paraId="516A85BE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</w:p>
    <w:p w14:paraId="7E99AE80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Poitiers, N., </w:t>
      </w:r>
      <w:proofErr w:type="spellStart"/>
      <w:r>
        <w:rPr>
          <w:rFonts w:ascii="Times New Roman" w:hAnsi="Times New Roman"/>
          <w:szCs w:val="24"/>
        </w:rPr>
        <w:t>Tagliapietra</w:t>
      </w:r>
      <w:proofErr w:type="spellEnd"/>
      <w:r>
        <w:rPr>
          <w:rFonts w:ascii="Times New Roman" w:hAnsi="Times New Roman"/>
          <w:szCs w:val="24"/>
        </w:rPr>
        <w:t xml:space="preserve">, S., Wolff, G.B., </w:t>
      </w:r>
      <w:proofErr w:type="spellStart"/>
      <w:r>
        <w:rPr>
          <w:rFonts w:ascii="Times New Roman" w:hAnsi="Times New Roman"/>
          <w:szCs w:val="24"/>
        </w:rPr>
        <w:t>Zachmann</w:t>
      </w:r>
      <w:proofErr w:type="spellEnd"/>
      <w:r>
        <w:rPr>
          <w:rFonts w:ascii="Times New Roman" w:hAnsi="Times New Roman"/>
          <w:szCs w:val="24"/>
        </w:rPr>
        <w:t xml:space="preserve">, G., 2022. The Kremlin’s gas wars. Foreign Affairs, February 27. </w:t>
      </w:r>
    </w:p>
    <w:p w14:paraId="68C85497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</w:p>
    <w:p w14:paraId="68621ADE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Togonidze</w:t>
      </w:r>
      <w:proofErr w:type="spellEnd"/>
      <w:r>
        <w:rPr>
          <w:rFonts w:ascii="Times New Roman" w:hAnsi="Times New Roman"/>
          <w:szCs w:val="24"/>
        </w:rPr>
        <w:t xml:space="preserve">, S., </w:t>
      </w:r>
      <w:proofErr w:type="spellStart"/>
      <w:r>
        <w:rPr>
          <w:rFonts w:ascii="Times New Roman" w:hAnsi="Times New Roman"/>
          <w:szCs w:val="24"/>
        </w:rPr>
        <w:t>Kocenda</w:t>
      </w:r>
      <w:proofErr w:type="spellEnd"/>
      <w:r>
        <w:rPr>
          <w:rFonts w:ascii="Times New Roman" w:hAnsi="Times New Roman"/>
          <w:szCs w:val="24"/>
        </w:rPr>
        <w:t xml:space="preserve">, E., 2020. Macroeconomic responses of emerging market economies to oil price shocks: Analysis by regions and resource profile. Charles University – Institute of Economic Studies: IES Working Paper 35/2020. </w:t>
      </w:r>
    </w:p>
    <w:p w14:paraId="16AD93B6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</w:p>
    <w:p w14:paraId="1C087786" w14:textId="77777777" w:rsidR="007145B9" w:rsidRDefault="007145B9" w:rsidP="007145B9">
      <w:pPr>
        <w:pStyle w:val="ListParagraph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Wolff, G.B., 2022. The EU without Russian oil and gas. </w:t>
      </w:r>
      <w:proofErr w:type="spellStart"/>
      <w:r>
        <w:rPr>
          <w:rFonts w:ascii="Times New Roman" w:hAnsi="Times New Roman"/>
          <w:szCs w:val="24"/>
        </w:rPr>
        <w:t>Breugel</w:t>
      </w:r>
      <w:proofErr w:type="spellEnd"/>
      <w:r>
        <w:rPr>
          <w:rFonts w:ascii="Times New Roman" w:hAnsi="Times New Roman"/>
          <w:szCs w:val="24"/>
        </w:rPr>
        <w:t xml:space="preserve"> Institute, Brussels, April 5.</w:t>
      </w:r>
    </w:p>
    <w:p w14:paraId="0F9025C8" w14:textId="77777777" w:rsidR="007145B9" w:rsidRPr="007145B9" w:rsidRDefault="007145B9" w:rsidP="007145B9">
      <w:pPr>
        <w:spacing w:after="0" w:line="37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sectPr w:rsidR="007145B9" w:rsidRPr="007145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5C67"/>
    <w:multiLevelType w:val="multilevel"/>
    <w:tmpl w:val="4B8252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19307F"/>
    <w:multiLevelType w:val="multilevel"/>
    <w:tmpl w:val="52A63C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3C58B4"/>
    <w:multiLevelType w:val="multilevel"/>
    <w:tmpl w:val="57FA87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4241D6"/>
    <w:multiLevelType w:val="multilevel"/>
    <w:tmpl w:val="E02A64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A5A25"/>
    <w:multiLevelType w:val="hybridMultilevel"/>
    <w:tmpl w:val="6EB0DE82"/>
    <w:lvl w:ilvl="0" w:tplc="90A8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62709"/>
    <w:multiLevelType w:val="multilevel"/>
    <w:tmpl w:val="90A446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5B58CE"/>
    <w:multiLevelType w:val="multilevel"/>
    <w:tmpl w:val="49F010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CA4F3E"/>
    <w:multiLevelType w:val="multilevel"/>
    <w:tmpl w:val="910CE0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F602F6"/>
    <w:multiLevelType w:val="multilevel"/>
    <w:tmpl w:val="9EF24D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5B1DD9"/>
    <w:multiLevelType w:val="multilevel"/>
    <w:tmpl w:val="7DA6B1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7B0665"/>
    <w:multiLevelType w:val="multilevel"/>
    <w:tmpl w:val="04B02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2C5B19"/>
    <w:multiLevelType w:val="multilevel"/>
    <w:tmpl w:val="1EDAE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31576E"/>
    <w:multiLevelType w:val="multilevel"/>
    <w:tmpl w:val="A288D4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02660C"/>
    <w:multiLevelType w:val="multilevel"/>
    <w:tmpl w:val="5D68D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69434E"/>
    <w:multiLevelType w:val="multilevel"/>
    <w:tmpl w:val="83E6A3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843A06"/>
    <w:multiLevelType w:val="multilevel"/>
    <w:tmpl w:val="546660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14"/>
  </w:num>
  <w:num w:numId="9">
    <w:abstractNumId w:val="5"/>
  </w:num>
  <w:num w:numId="10">
    <w:abstractNumId w:val="15"/>
  </w:num>
  <w:num w:numId="11">
    <w:abstractNumId w:val="3"/>
  </w:num>
  <w:num w:numId="12">
    <w:abstractNumId w:val="2"/>
  </w:num>
  <w:num w:numId="13">
    <w:abstractNumId w:val="8"/>
  </w:num>
  <w:num w:numId="14">
    <w:abstractNumId w:val="9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B3E"/>
    <w:rsid w:val="00011D4C"/>
    <w:rsid w:val="00022F28"/>
    <w:rsid w:val="00061114"/>
    <w:rsid w:val="000A6F07"/>
    <w:rsid w:val="002973F1"/>
    <w:rsid w:val="003A3AC6"/>
    <w:rsid w:val="003B7160"/>
    <w:rsid w:val="004B59BF"/>
    <w:rsid w:val="004D6D48"/>
    <w:rsid w:val="004E5BDC"/>
    <w:rsid w:val="00530C71"/>
    <w:rsid w:val="006D70E9"/>
    <w:rsid w:val="007145B9"/>
    <w:rsid w:val="0072017A"/>
    <w:rsid w:val="007B0B93"/>
    <w:rsid w:val="007E5DD7"/>
    <w:rsid w:val="007F54ED"/>
    <w:rsid w:val="007F7713"/>
    <w:rsid w:val="00887AD2"/>
    <w:rsid w:val="008D2446"/>
    <w:rsid w:val="008D7FDF"/>
    <w:rsid w:val="00933B0E"/>
    <w:rsid w:val="009A372C"/>
    <w:rsid w:val="00A00ED1"/>
    <w:rsid w:val="00A2583A"/>
    <w:rsid w:val="00A54DD3"/>
    <w:rsid w:val="00AA07B8"/>
    <w:rsid w:val="00B92847"/>
    <w:rsid w:val="00BB3072"/>
    <w:rsid w:val="00BB7F88"/>
    <w:rsid w:val="00C16E73"/>
    <w:rsid w:val="00C50A82"/>
    <w:rsid w:val="00CA1AC4"/>
    <w:rsid w:val="00D379D8"/>
    <w:rsid w:val="00D839C2"/>
    <w:rsid w:val="00E862DB"/>
    <w:rsid w:val="00E9434D"/>
    <w:rsid w:val="00F93B3E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76DE1"/>
  <w15:chartTrackingRefBased/>
  <w15:docId w15:val="{A6280D2F-6E42-4A17-8886-9F6DD1EA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145B9"/>
    <w:pPr>
      <w:keepNext/>
      <w:spacing w:after="0" w:line="240" w:lineRule="auto"/>
      <w:outlineLvl w:val="0"/>
    </w:pPr>
    <w:rPr>
      <w:rFonts w:ascii="Times" w:eastAsia="Times" w:hAnsi="Times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7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87AD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1D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145B9"/>
    <w:rPr>
      <w:rFonts w:ascii="Times" w:eastAsia="Times" w:hAnsi="Times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8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Sacred Heart University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Orlowski, Prof. Lucjan T.</dc:creator>
  <cp:keywords/>
  <dc:description/>
  <cp:lastModifiedBy>AMBROSE</cp:lastModifiedBy>
  <cp:revision>4</cp:revision>
  <dcterms:created xsi:type="dcterms:W3CDTF">2022-06-03T13:43:00Z</dcterms:created>
  <dcterms:modified xsi:type="dcterms:W3CDTF">2022-06-03T14:31:00Z</dcterms:modified>
</cp:coreProperties>
</file>