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079F0" w14:textId="77777777" w:rsidR="00C653EE" w:rsidRDefault="006C54BF">
      <w:pPr>
        <w:pStyle w:val="FirstParagraph"/>
      </w:pPr>
      <w:bookmarkStart w:id="0" w:name="_Hlk99671750"/>
      <w:r>
        <w:rPr>
          <w:rFonts w:ascii="Times New Roman" w:hAnsi="Times New Roman"/>
          <w:b/>
          <w:bCs/>
        </w:rPr>
        <w:t>Problem 1 [40 points]</w:t>
      </w:r>
      <w:r>
        <w:rPr>
          <w:rFonts w:ascii="Times New Roman" w:hAnsi="Times New Roman"/>
        </w:rPr>
        <w:t xml:space="preserve"> </w:t>
      </w:r>
      <w:bookmarkEnd w:id="0"/>
      <w:proofErr w:type="spellStart"/>
      <w:r>
        <w:rPr>
          <w:rFonts w:eastAsia="Arial Unicode MS" w:cs="Arial Unicode MS"/>
        </w:rPr>
        <w:t>Belenzon</w:t>
      </w:r>
      <w:proofErr w:type="spellEnd"/>
      <w:r>
        <w:rPr>
          <w:rFonts w:eastAsia="Arial Unicode MS" w:cs="Arial Unicode MS"/>
        </w:rPr>
        <w:t xml:space="preserve">, </w:t>
      </w:r>
      <w:proofErr w:type="spellStart"/>
      <w:r>
        <w:rPr>
          <w:rFonts w:eastAsia="Arial Unicode MS" w:cs="Arial Unicode MS"/>
        </w:rPr>
        <w:t>Chatterji</w:t>
      </w:r>
      <w:proofErr w:type="spellEnd"/>
      <w:r>
        <w:rPr>
          <w:rFonts w:eastAsia="Arial Unicode MS" w:cs="Arial Unicode MS"/>
        </w:rPr>
        <w:t xml:space="preserve"> and Daley (2017) find that eponymy</w:t>
      </w:r>
      <w:r>
        <w:rPr>
          <w:rFonts w:eastAsia="Arial Unicode MS" w:cs="Arial Unicode MS"/>
        </w:rPr>
        <w:t>—</w:t>
      </w:r>
      <w:r>
        <w:rPr>
          <w:rFonts w:eastAsia="Arial Unicode MS" w:cs="Arial Unicode MS"/>
        </w:rPr>
        <w:t>firms being named after their owners</w:t>
      </w:r>
      <w:r>
        <w:rPr>
          <w:rFonts w:eastAsia="Arial Unicode MS" w:cs="Arial Unicode MS"/>
        </w:rPr>
        <w:t>—</w:t>
      </w:r>
      <w:r>
        <w:rPr>
          <w:rFonts w:eastAsia="Arial Unicode MS" w:cs="Arial Unicode MS"/>
        </w:rPr>
        <w:t xml:space="preserve">is linked to firm performance. The baseline specification in their </w:t>
      </w:r>
      <w:r>
        <w:rPr>
          <w:rFonts w:eastAsia="Arial Unicode MS" w:cs="Arial Unicode MS"/>
        </w:rPr>
        <w:t>paper takes the form</w:t>
      </w:r>
    </w:p>
    <w:p w14:paraId="0802B625" w14:textId="77777777" w:rsidR="00C653EE" w:rsidRDefault="006C54BF">
      <w:pPr>
        <w:pStyle w:val="BodyText"/>
        <w:jc w:val="center"/>
      </w:pPr>
      <m:oMathPara>
        <m:oMathParaPr>
          <m:jc m:val="center"/>
        </m:oMathParaPr>
        <m:oMath>
          <m:eqArr>
            <m:eqArrPr>
              <m:ctrlPr>
                <w:rPr>
                  <w:rFonts w:ascii="Cambria Math" w:hAnsi="Cambria Math"/>
                  <w:i/>
                  <w:sz w:val="28"/>
                  <w:szCs w:val="28"/>
                </w:rPr>
              </m:ctrlPr>
            </m:eqArrPr>
            <m:e>
              <m:r>
                <w:rPr>
                  <w:rFonts w:ascii="Cambria Math" w:hAnsi="Cambria Math"/>
                  <w:sz w:val="28"/>
                  <w:szCs w:val="28"/>
                </w:rPr>
                <m:t>RO</m:t>
              </m:r>
              <m:sSub>
                <m:sSubPr>
                  <m:ctrlPr>
                    <w:rPr>
                      <w:rFonts w:ascii="Cambria Math" w:hAnsi="Cambria Math"/>
                    </w:rPr>
                  </m:ctrlPr>
                </m:sSubPr>
                <m:e>
                  <m:r>
                    <w:rPr>
                      <w:rFonts w:ascii="Cambria Math" w:hAnsi="Cambria Math"/>
                      <w:sz w:val="28"/>
                      <w:szCs w:val="28"/>
                    </w:rPr>
                    <m:t>A</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Eponymou</m:t>
              </m:r>
              <m:sSub>
                <m:sSubPr>
                  <m:ctrlPr>
                    <w:rPr>
                      <w:rFonts w:ascii="Cambria Math" w:hAnsi="Cambria Math"/>
                    </w:rPr>
                  </m:ctrlPr>
                </m:sSubPr>
                <m:e>
                  <m:r>
                    <w:rPr>
                      <w:rFonts w:ascii="Cambria Math" w:hAnsi="Cambria Math"/>
                      <w:sz w:val="28"/>
                      <w:szCs w:val="28"/>
                    </w:rPr>
                    <m:t>s</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Z</m:t>
                  </m:r>
                </m:e>
                <m:sub>
                  <m:r>
                    <w:rPr>
                      <w:rFonts w:ascii="Cambria Math" w:hAnsi="Cambria Math"/>
                      <w:sz w:val="28"/>
                      <w:szCs w:val="28"/>
                    </w:rPr>
                    <m:t>1</m:t>
                  </m:r>
                  <m:r>
                    <w:rPr>
                      <w:rFonts w:ascii="Cambria Math" w:hAnsi="Cambria Math"/>
                      <w:sz w:val="28"/>
                      <w:szCs w:val="28"/>
                    </w:rPr>
                    <m:t>it</m:t>
                  </m:r>
                </m:sub>
              </m:sSub>
              <m:sSub>
                <m:sSubPr>
                  <m:ctrlPr>
                    <w:rPr>
                      <w:rFonts w:ascii="Cambria Math" w:hAnsi="Cambria Math"/>
                    </w:rPr>
                  </m:ctrlPr>
                </m:sSubPr>
                <m:e>
                  <m:r>
                    <w:rPr>
                      <w:rFonts w:ascii="Cambria Math" w:hAnsi="Cambria Math"/>
                      <w:sz w:val="28"/>
                      <w:szCs w:val="28"/>
                    </w:rPr>
                    <m:t>β</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Z</m:t>
                  </m:r>
                </m:e>
                <m:sub>
                  <m:r>
                    <w:rPr>
                      <w:rFonts w:ascii="Cambria Math" w:hAnsi="Cambria Math"/>
                      <w:sz w:val="28"/>
                      <w:szCs w:val="28"/>
                    </w:rPr>
                    <m:t>dit</m:t>
                  </m:r>
                </m:sub>
              </m:sSub>
              <m:sSub>
                <m:sSubPr>
                  <m:ctrlPr>
                    <w:rPr>
                      <w:rFonts w:ascii="Cambria Math" w:hAnsi="Cambria Math"/>
                    </w:rPr>
                  </m:ctrlPr>
                </m:sSubPr>
                <m:e>
                  <m:r>
                    <w:rPr>
                      <w:rFonts w:ascii="Cambria Math" w:hAnsi="Cambria Math"/>
                      <w:sz w:val="28"/>
                      <w:szCs w:val="28"/>
                    </w:rPr>
                    <m:t>β</m:t>
                  </m:r>
                </m:e>
                <m:sub>
                  <m:r>
                    <w:rPr>
                      <w:rFonts w:ascii="Cambria Math" w:hAnsi="Cambria Math"/>
                      <w:sz w:val="28"/>
                      <w:szCs w:val="28"/>
                    </w:rPr>
                    <m:t>d</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η</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τ</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c</m:t>
                  </m:r>
                </m:e>
                <m:sub>
                  <m:r>
                    <w:rPr>
                      <w:rFonts w:ascii="Cambria Math" w:hAnsi="Cambria Math"/>
                      <w:sz w:val="28"/>
                      <w:szCs w:val="28"/>
                    </w:rPr>
                    <m:t>c</m:t>
                  </m:r>
                </m:sub>
              </m:sSub>
              <m:r>
                <w:rPr>
                  <w:rFonts w:ascii="Cambria Math" w:hAnsi="Cambria Math"/>
                  <w:sz w:val="28"/>
                  <w:szCs w:val="28"/>
                </w:rPr>
                <m:t>+</m:t>
              </m:r>
              <m:sSub>
                <m:sSubPr>
                  <m:ctrlPr>
                    <w:rPr>
                      <w:rFonts w:ascii="Cambria Math" w:hAnsi="Cambria Math"/>
                    </w:rPr>
                  </m:ctrlPr>
                </m:sSubPr>
                <m:e>
                  <m:r>
                    <w:rPr>
                      <w:rFonts w:ascii="Cambria Math" w:hAnsi="Cambria Math"/>
                      <w:sz w:val="28"/>
                      <w:szCs w:val="28"/>
                    </w:rPr>
                    <m:t>u</m:t>
                  </m:r>
                </m:e>
                <m:sub>
                  <m:r>
                    <w:rPr>
                      <w:rFonts w:ascii="Cambria Math" w:hAnsi="Cambria Math"/>
                      <w:sz w:val="28"/>
                      <w:szCs w:val="28"/>
                    </w:rPr>
                    <m:t>it</m:t>
                  </m:r>
                </m:sub>
              </m:sSub>
              <m:r>
                <w:rPr>
                  <w:rFonts w:ascii="Cambria Math" w:hAnsi="Cambria Math"/>
                  <w:sz w:val="28"/>
                  <w:szCs w:val="28"/>
                </w:rPr>
                <m:t>,</m:t>
              </m:r>
            </m:e>
          </m:eqArr>
        </m:oMath>
      </m:oMathPara>
    </w:p>
    <w:p w14:paraId="6B1267A1" w14:textId="77777777" w:rsidR="00C653EE" w:rsidRDefault="006C54BF">
      <w:pPr>
        <w:pStyle w:val="FirstParagraph"/>
      </w:pPr>
      <w:r>
        <w:rPr>
          <w:rFonts w:eastAsia="Arial Unicode MS" w:cs="Arial Unicode MS"/>
        </w:rPr>
        <w:t xml:space="preserve">where the indices </w:t>
      </w:r>
      <m:oMath>
        <m:r>
          <w:rPr>
            <w:rFonts w:ascii="Cambria Math" w:hAnsi="Cambria Math"/>
            <w:sz w:val="33"/>
            <w:szCs w:val="33"/>
          </w:rPr>
          <m:t>i</m:t>
        </m:r>
      </m:oMath>
      <w:r>
        <w:rPr>
          <w:rFonts w:eastAsia="Arial Unicode MS" w:cs="Arial Unicode MS"/>
        </w:rPr>
        <w:t xml:space="preserve"> and </w:t>
      </w:r>
      <m:oMath>
        <m:r>
          <w:rPr>
            <w:rFonts w:ascii="Cambria Math" w:hAnsi="Cambria Math"/>
            <w:sz w:val="28"/>
            <w:szCs w:val="28"/>
          </w:rPr>
          <m:t>t</m:t>
        </m:r>
      </m:oMath>
      <w:r>
        <w:rPr>
          <w:rFonts w:eastAsia="Arial Unicode MS" w:cs="Arial Unicode MS"/>
        </w:rPr>
        <w:t xml:space="preserve"> denote firms and years, </w:t>
      </w:r>
      <m:oMath>
        <m:r>
          <w:rPr>
            <w:rFonts w:ascii="Cambria Math" w:hAnsi="Cambria Math"/>
            <w:sz w:val="25"/>
            <w:szCs w:val="25"/>
          </w:rPr>
          <m:t>RO</m:t>
        </m:r>
        <m:sSub>
          <m:sSubPr>
            <m:ctrlPr>
              <w:rPr>
                <w:rFonts w:ascii="Cambria Math" w:hAnsi="Cambria Math"/>
              </w:rPr>
            </m:ctrlPr>
          </m:sSubPr>
          <m:e>
            <m:r>
              <w:rPr>
                <w:rFonts w:ascii="Cambria Math" w:hAnsi="Cambria Math"/>
                <w:sz w:val="25"/>
                <w:szCs w:val="25"/>
              </w:rPr>
              <m:t>A</m:t>
            </m:r>
          </m:e>
          <m:sub>
            <m:r>
              <w:rPr>
                <w:rFonts w:ascii="Cambria Math" w:hAnsi="Cambria Math"/>
                <w:sz w:val="25"/>
                <w:szCs w:val="25"/>
              </w:rPr>
              <m:t>it</m:t>
            </m:r>
          </m:sub>
        </m:sSub>
      </m:oMath>
      <w:r>
        <w:rPr>
          <w:rFonts w:eastAsia="Arial Unicode MS" w:cs="Arial Unicode MS"/>
        </w:rPr>
        <w:t xml:space="preserve"> is return on assets, </w:t>
      </w:r>
      <m:oMath>
        <m:r>
          <w:rPr>
            <w:rFonts w:ascii="Cambria Math" w:hAnsi="Cambria Math"/>
            <w:sz w:val="25"/>
            <w:szCs w:val="25"/>
          </w:rPr>
          <m:t>Eponymou</m:t>
        </m:r>
        <m:sSub>
          <m:sSubPr>
            <m:ctrlPr>
              <w:rPr>
                <w:rFonts w:ascii="Cambria Math" w:hAnsi="Cambria Math"/>
              </w:rPr>
            </m:ctrlPr>
          </m:sSubPr>
          <m:e>
            <m:r>
              <w:rPr>
                <w:rFonts w:ascii="Cambria Math" w:hAnsi="Cambria Math"/>
                <w:sz w:val="25"/>
                <w:szCs w:val="25"/>
              </w:rPr>
              <m:t>s</m:t>
            </m:r>
          </m:e>
          <m:sub>
            <m:r>
              <w:rPr>
                <w:rFonts w:ascii="Cambria Math" w:hAnsi="Cambria Math"/>
                <w:sz w:val="25"/>
                <w:szCs w:val="25"/>
              </w:rPr>
              <m:t>it</m:t>
            </m:r>
          </m:sub>
        </m:sSub>
      </m:oMath>
      <w:r>
        <w:rPr>
          <w:rFonts w:eastAsia="Arial Unicode MS" w:cs="Arial Unicode MS"/>
        </w:rPr>
        <w:t xml:space="preserve"> is a binary indicator variable that takes </w:t>
      </w:r>
      <w:r>
        <w:rPr>
          <w:rFonts w:eastAsia="Arial Unicode MS" w:cs="Arial Unicode MS"/>
        </w:rPr>
        <w:t xml:space="preserve">the value of one if firm </w:t>
      </w:r>
      <m:oMath>
        <m:r>
          <w:rPr>
            <w:rFonts w:ascii="Cambria Math" w:hAnsi="Cambria Math"/>
            <w:sz w:val="33"/>
            <w:szCs w:val="33"/>
          </w:rPr>
          <m:t>i</m:t>
        </m:r>
      </m:oMath>
      <w:r>
        <w:rPr>
          <w:rFonts w:eastAsia="Arial Unicode MS" w:cs="Arial Unicode MS"/>
        </w:rPr>
        <w:t>’</w:t>
      </w:r>
      <w:r>
        <w:rPr>
          <w:rFonts w:eastAsia="Arial Unicode MS" w:cs="Arial Unicode MS"/>
        </w:rPr>
        <w:t xml:space="preserve">s name in year </w:t>
      </w:r>
      <m:oMath>
        <m:r>
          <w:rPr>
            <w:rFonts w:ascii="Cambria Math" w:hAnsi="Cambria Math"/>
            <w:sz w:val="28"/>
            <w:szCs w:val="28"/>
          </w:rPr>
          <m:t>t</m:t>
        </m:r>
      </m:oMath>
      <w:r>
        <w:rPr>
          <w:rFonts w:eastAsia="Arial Unicode MS" w:cs="Arial Unicode MS"/>
        </w:rPr>
        <w:t xml:space="preserve"> includes the name of owner and zero otherwise, and explanatory variables </w:t>
      </w:r>
      <m:oMath>
        <m:sSub>
          <m:sSubPr>
            <m:ctrlPr>
              <w:rPr>
                <w:rFonts w:ascii="Cambria Math" w:hAnsi="Cambria Math"/>
              </w:rPr>
            </m:ctrlPr>
          </m:sSubPr>
          <m:e>
            <m:r>
              <w:rPr>
                <w:rFonts w:ascii="Cambria Math" w:hAnsi="Cambria Math"/>
                <w:sz w:val="25"/>
                <w:szCs w:val="25"/>
              </w:rPr>
              <m:t>Z</m:t>
            </m:r>
          </m:e>
          <m:sub>
            <m:r>
              <w:rPr>
                <w:rFonts w:ascii="Cambria Math" w:hAnsi="Cambria Math"/>
                <w:sz w:val="25"/>
                <w:szCs w:val="25"/>
              </w:rPr>
              <m:t>1</m:t>
            </m:r>
            <m:r>
              <w:rPr>
                <w:rFonts w:ascii="Cambria Math" w:hAnsi="Cambria Math"/>
                <w:sz w:val="25"/>
                <w:szCs w:val="25"/>
              </w:rPr>
              <m:t>it</m:t>
            </m:r>
          </m:sub>
        </m:sSub>
        <m:r>
          <w:rPr>
            <w:rFonts w:ascii="Cambria Math" w:hAnsi="Cambria Math"/>
            <w:sz w:val="25"/>
            <w:szCs w:val="25"/>
          </w:rPr>
          <m:t>,…,</m:t>
        </m:r>
        <m:sSub>
          <m:sSubPr>
            <m:ctrlPr>
              <w:rPr>
                <w:rFonts w:ascii="Cambria Math" w:hAnsi="Cambria Math"/>
              </w:rPr>
            </m:ctrlPr>
          </m:sSubPr>
          <m:e>
            <m:r>
              <w:rPr>
                <w:rFonts w:ascii="Cambria Math" w:hAnsi="Cambria Math"/>
                <w:sz w:val="25"/>
                <w:szCs w:val="25"/>
              </w:rPr>
              <m:t>Z</m:t>
            </m:r>
          </m:e>
          <m:sub>
            <m:r>
              <w:rPr>
                <w:rFonts w:ascii="Cambria Math" w:hAnsi="Cambria Math"/>
                <w:sz w:val="25"/>
                <w:szCs w:val="25"/>
              </w:rPr>
              <m:t>dit</m:t>
            </m:r>
          </m:sub>
        </m:sSub>
      </m:oMath>
      <w:r>
        <w:rPr>
          <w:rFonts w:eastAsia="Arial Unicode MS" w:cs="Arial Unicode MS"/>
        </w:rPr>
        <w:t xml:space="preserve"> include time-varying controls for log of assets, log number of shareholders, equity dispersion, and </w:t>
      </w:r>
      <m:oMath>
        <m:sSub>
          <m:sSubPr>
            <m:ctrlPr>
              <w:rPr>
                <w:rFonts w:ascii="Cambria Math" w:hAnsi="Cambria Math"/>
              </w:rPr>
            </m:ctrlPr>
          </m:sSubPr>
          <m:e>
            <m:r>
              <w:rPr>
                <w:rFonts w:ascii="Cambria Math" w:hAnsi="Cambria Math"/>
                <w:sz w:val="26"/>
                <w:szCs w:val="26"/>
              </w:rPr>
              <m:t>u</m:t>
            </m:r>
          </m:e>
          <m:sub>
            <m:r>
              <w:rPr>
                <w:rFonts w:ascii="Cambria Math" w:hAnsi="Cambria Math"/>
                <w:sz w:val="26"/>
                <w:szCs w:val="26"/>
              </w:rPr>
              <m:t>it</m:t>
            </m:r>
          </m:sub>
        </m:sSub>
      </m:oMath>
      <w:r>
        <w:rPr>
          <w:rFonts w:eastAsia="Arial Unicode MS" w:cs="Arial Unicode MS"/>
        </w:rPr>
        <w:t xml:space="preserve"> is a regres</w:t>
      </w:r>
      <w:proofErr w:type="spellStart"/>
      <w:r>
        <w:rPr>
          <w:rFonts w:eastAsia="Arial Unicode MS" w:cs="Arial Unicode MS"/>
        </w:rPr>
        <w:t>sion</w:t>
      </w:r>
      <w:proofErr w:type="spellEnd"/>
      <w:r>
        <w:rPr>
          <w:rFonts w:eastAsia="Arial Unicode MS" w:cs="Arial Unicode MS"/>
        </w:rPr>
        <w:t xml:space="preserve"> error term. The variables </w:t>
      </w:r>
      <m:oMath>
        <m:r>
          <w:rPr>
            <w:rFonts w:ascii="Cambria Math" w:hAnsi="Cambria Math"/>
            <w:sz w:val="26"/>
            <w:szCs w:val="26"/>
          </w:rPr>
          <m:t>η</m:t>
        </m:r>
        <m:r>
          <w:rPr>
            <w:rFonts w:ascii="Cambria Math" w:hAnsi="Cambria Math"/>
            <w:sz w:val="26"/>
            <w:szCs w:val="26"/>
          </w:rPr>
          <m:t>,</m:t>
        </m:r>
        <m:r>
          <w:rPr>
            <w:rFonts w:ascii="Cambria Math" w:hAnsi="Cambria Math"/>
            <w:sz w:val="26"/>
            <w:szCs w:val="26"/>
          </w:rPr>
          <m:t>τ</m:t>
        </m:r>
        <m:r>
          <w:rPr>
            <w:rFonts w:ascii="Cambria Math" w:hAnsi="Cambria Math"/>
            <w:sz w:val="26"/>
            <w:szCs w:val="26"/>
          </w:rPr>
          <m:t>,</m:t>
        </m:r>
        <m:r>
          <w:rPr>
            <w:rFonts w:ascii="Cambria Math" w:hAnsi="Cambria Math"/>
            <w:sz w:val="26"/>
            <w:szCs w:val="26"/>
          </w:rPr>
          <m:t>c</m:t>
        </m:r>
      </m:oMath>
      <w:r>
        <w:rPr>
          <w:rFonts w:eastAsia="Arial Unicode MS" w:cs="Arial Unicode MS"/>
        </w:rPr>
        <w:t xml:space="preserve"> are complete sets of three-digit standard industrial classification (SIC) codes, country, and year dummies. The total number of observations is more than 6 million and there are more than 1 million firms in the data </w:t>
      </w:r>
      <w:r>
        <w:rPr>
          <w:rFonts w:eastAsia="Arial Unicode MS" w:cs="Arial Unicode MS"/>
        </w:rPr>
        <w:t>for the period 2002-2012.</w:t>
      </w:r>
    </w:p>
    <w:p w14:paraId="3C1E828D" w14:textId="77777777" w:rsidR="00C653EE" w:rsidRDefault="006C54BF">
      <w:pPr>
        <w:pStyle w:val="Body"/>
        <w:rPr>
          <w:color w:val="FF0000"/>
          <w:u w:color="FF0000"/>
        </w:rPr>
      </w:pPr>
      <w:r>
        <w:t xml:space="preserve">(a) [5 points] </w:t>
      </w:r>
      <w:proofErr w:type="spellStart"/>
      <w:r>
        <w:t>Belenzon</w:t>
      </w:r>
      <w:proofErr w:type="spellEnd"/>
      <w:r>
        <w:t xml:space="preserve">, </w:t>
      </w:r>
      <w:proofErr w:type="spellStart"/>
      <w:r>
        <w:t>Chatterji</w:t>
      </w:r>
      <w:proofErr w:type="spellEnd"/>
      <w:r>
        <w:t xml:space="preserve"> and Daley (2017) propose a signaling explanation for the eponymy-performance relationship. They argue that eponymy creates a stronger association between the entrepreneur and her firm that increa</w:t>
      </w:r>
      <w:r>
        <w:t>ses the reputational benefits of having the market hold a favorable impression of the quality of her firm. Consequently, they infer that high-ability entrepreneurs are more drawn to eponymy than are low-ability ones. Based on this explanation, what is your</w:t>
      </w:r>
      <w:r>
        <w:t xml:space="preserve"> prediction on </w:t>
      </w:r>
      <m:oMath>
        <m:sSub>
          <m:sSubPr>
            <m:ctrlPr>
              <w:rPr>
                <w:rFonts w:ascii="Cambria Math" w:hAnsi="Cambria Math"/>
              </w:rPr>
            </m:ctrlPr>
          </m:sSubPr>
          <m:e>
            <m:r>
              <w:rPr>
                <w:rFonts w:ascii="Cambria Math" w:hAnsi="Cambria Math"/>
                <w:sz w:val="29"/>
                <w:szCs w:val="29"/>
              </w:rPr>
              <m:t>α</m:t>
            </m:r>
          </m:e>
          <m:sub>
            <m:r>
              <w:rPr>
                <w:rFonts w:ascii="Cambria Math" w:hAnsi="Cambria Math"/>
                <w:sz w:val="29"/>
                <w:szCs w:val="29"/>
              </w:rPr>
              <m:t>1</m:t>
            </m:r>
          </m:sub>
        </m:sSub>
      </m:oMath>
      <w:r>
        <w:t>? Explain briefly.</w:t>
      </w:r>
    </w:p>
    <w:p w14:paraId="798326D2" w14:textId="77777777" w:rsidR="00C653EE" w:rsidRDefault="006C54BF">
      <w:pPr>
        <w:pStyle w:val="Body"/>
      </w:pPr>
      <w:r>
        <w:t>(b) [5 points] Given the information given above, do the authors of the paper have balanced panel data? Explain briefly.</w:t>
      </w:r>
    </w:p>
    <w:p w14:paraId="3775510F" w14:textId="77777777" w:rsidR="00C653EE" w:rsidRDefault="006C54BF">
      <w:pPr>
        <w:pStyle w:val="Body"/>
        <w:rPr>
          <w:color w:val="FF0000"/>
          <w:u w:color="FF0000"/>
        </w:rPr>
      </w:pPr>
      <w:r>
        <w:t>(c) [5 points] In the basic specification, there is no firm fixed effect. In the data, only 0.3 pe</w:t>
      </w:r>
      <w:r>
        <w:t>rcent of firms change their eponymy status during the sample period. Can you conjecture why the authors did not include the firm fixed effect in their basic specification? Justify your answer.</w:t>
      </w:r>
    </w:p>
    <w:p w14:paraId="2AB36F36" w14:textId="77777777" w:rsidR="00C653EE" w:rsidRDefault="006C54BF">
      <w:pPr>
        <w:pStyle w:val="Body"/>
      </w:pPr>
      <w:r>
        <w:t>(d) [5 points] Suppose that you would like to control for the o</w:t>
      </w:r>
      <w:r>
        <w:t xml:space="preserve">wner fixed effect, in addition to all the controls in the basic specification. In this case, what type of variation in </w:t>
      </w:r>
      <m:oMath>
        <m:r>
          <w:rPr>
            <w:rFonts w:ascii="Cambria Math" w:hAnsi="Cambria Math"/>
            <w:sz w:val="25"/>
            <w:szCs w:val="25"/>
          </w:rPr>
          <m:t>Eponymou</m:t>
        </m:r>
        <m:sSub>
          <m:sSubPr>
            <m:ctrlPr>
              <w:rPr>
                <w:rFonts w:ascii="Cambria Math" w:hAnsi="Cambria Math"/>
              </w:rPr>
            </m:ctrlPr>
          </m:sSubPr>
          <m:e>
            <m:r>
              <w:rPr>
                <w:rFonts w:ascii="Cambria Math" w:hAnsi="Cambria Math"/>
                <w:sz w:val="25"/>
                <w:szCs w:val="25"/>
              </w:rPr>
              <m:t>s</m:t>
            </m:r>
          </m:e>
          <m:sub>
            <m:r>
              <w:rPr>
                <w:rFonts w:ascii="Cambria Math" w:hAnsi="Cambria Math"/>
                <w:sz w:val="25"/>
                <w:szCs w:val="25"/>
              </w:rPr>
              <m:t>it</m:t>
            </m:r>
          </m:sub>
        </m:sSub>
      </m:oMath>
      <w:r>
        <w:t xml:space="preserve"> do you exploit? In the data, the same person may own multiple firms. [2 points]</w:t>
      </w:r>
    </w:p>
    <w:p w14:paraId="40BE3E63" w14:textId="77777777" w:rsidR="00C653EE" w:rsidRDefault="006C54BF">
      <w:pPr>
        <w:pStyle w:val="Body"/>
        <w:rPr>
          <w:color w:val="FF0000"/>
          <w:u w:color="FF0000"/>
        </w:rPr>
      </w:pPr>
      <w:r>
        <w:t xml:space="preserve">(e) [5 points] Using the dataset </w:t>
      </w:r>
      <w:r>
        <w:rPr>
          <w:b/>
          <w:bCs/>
          <w:lang w:val="de-DE"/>
        </w:rPr>
        <w:t>EPO_AER_subsample.dta</w:t>
      </w:r>
      <w:r>
        <w:t xml:space="preserve">, which is a five percent random sample of the dataset used in </w:t>
      </w:r>
      <w:proofErr w:type="spellStart"/>
      <w:r>
        <w:t>Belenzon</w:t>
      </w:r>
      <w:proofErr w:type="spellEnd"/>
      <w:r>
        <w:t xml:space="preserve">, </w:t>
      </w:r>
      <w:proofErr w:type="spellStart"/>
      <w:r>
        <w:t>Chatterji</w:t>
      </w:r>
      <w:proofErr w:type="spellEnd"/>
      <w:r>
        <w:t xml:space="preserve"> and Daley (2017), estimate the model given in part (a). Use the </w:t>
      </w:r>
      <w:r>
        <w:rPr>
          <w:rStyle w:val="VerbatimChar"/>
        </w:rPr>
        <w:t>areg</w:t>
      </w:r>
      <w:r>
        <w:t xml:space="preserve"> command in STATA since it is necessary to deal with many indicator variables for th</w:t>
      </w:r>
      <w:r>
        <w:t>e SIC codes. Use the standard error clustered by firm. Discuss your estimation results.</w:t>
      </w:r>
    </w:p>
    <w:p w14:paraId="5D6C38A6" w14:textId="77777777" w:rsidR="00C653EE" w:rsidRDefault="006C54BF">
      <w:pPr>
        <w:pStyle w:val="Body"/>
        <w:rPr>
          <w:color w:val="FF0000"/>
          <w:u w:color="FF0000"/>
        </w:rPr>
      </w:pPr>
      <w:r>
        <w:t>(f) [5 points] Using only observations for year 2007, re-estimate the same model above. Compare your estimation results and provide brief remarks.</w:t>
      </w:r>
    </w:p>
    <w:p w14:paraId="1BC62C99" w14:textId="77777777" w:rsidR="00C653EE" w:rsidRDefault="006C54BF">
      <w:pPr>
        <w:pStyle w:val="Body"/>
      </w:pPr>
      <w:r>
        <w:t>(g) [5 points] Now in</w:t>
      </w:r>
      <w:r>
        <w:t xml:space="preserve">clude the firm fixed effect and estimate the regression model. Use the </w:t>
      </w:r>
      <w:r>
        <w:rPr>
          <w:rStyle w:val="VerbatimChar"/>
          <w:lang w:val="da-DK"/>
        </w:rPr>
        <w:t>xtset, xtreg</w:t>
      </w:r>
      <w:r>
        <w:t xml:space="preserve"> commands in STATA to run panel data regression. Use the standard error clustered by firm. Discuss your findings.</w:t>
      </w:r>
    </w:p>
    <w:p w14:paraId="1CA99977" w14:textId="77777777" w:rsidR="00C653EE" w:rsidRDefault="006C54BF">
      <w:pPr>
        <w:pStyle w:val="Body"/>
      </w:pPr>
      <w:r>
        <w:lastRenderedPageBreak/>
        <w:t>(h) [5 points] Restrict the sample such that owners have at</w:t>
      </w:r>
      <w:r>
        <w:t xml:space="preserve"> least two different businesses. Using this subsample and include the owner-fixed effect to estimate the model. Use the standard error clustered by firm. Discuss your findings.</w:t>
      </w:r>
    </w:p>
    <w:sectPr w:rsidR="00C653EE">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DE171" w14:textId="77777777" w:rsidR="006C54BF" w:rsidRDefault="006C54BF">
      <w:r>
        <w:separator/>
      </w:r>
    </w:p>
  </w:endnote>
  <w:endnote w:type="continuationSeparator" w:id="0">
    <w:p w14:paraId="51BB97FE" w14:textId="77777777" w:rsidR="006C54BF" w:rsidRDefault="006C5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30E89" w14:textId="77777777" w:rsidR="00C653EE" w:rsidRDefault="00C653EE">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975EB" w14:textId="77777777" w:rsidR="006C54BF" w:rsidRDefault="006C54BF">
      <w:r>
        <w:separator/>
      </w:r>
    </w:p>
  </w:footnote>
  <w:footnote w:type="continuationSeparator" w:id="0">
    <w:p w14:paraId="02A0F99D" w14:textId="77777777" w:rsidR="006C54BF" w:rsidRDefault="006C54BF">
      <w:r>
        <w:continuationSeparator/>
      </w:r>
    </w:p>
  </w:footnote>
  <w:footnote w:type="continuationNotice" w:id="1">
    <w:p w14:paraId="07910118" w14:textId="77777777" w:rsidR="006C54BF" w:rsidRDefault="006C54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C69CC" w14:textId="77777777" w:rsidR="00C653EE" w:rsidRDefault="00C653EE">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2EFB"/>
    <w:multiLevelType w:val="hybridMultilevel"/>
    <w:tmpl w:val="0392747E"/>
    <w:styleLink w:val="ImportedStyle1"/>
    <w:lvl w:ilvl="0" w:tplc="65F62A5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8FEBFD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8DE699A">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C3C6F4E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91625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62C05AC">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D2D4BF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EE0E8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02D978">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45F4D36"/>
    <w:multiLevelType w:val="hybridMultilevel"/>
    <w:tmpl w:val="0392747E"/>
    <w:numStyleLink w:val="ImportedStyle1"/>
  </w:abstractNum>
  <w:num w:numId="1" w16cid:durableId="1463963327">
    <w:abstractNumId w:val="0"/>
  </w:num>
  <w:num w:numId="2" w16cid:durableId="7030207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3EE"/>
    <w:rsid w:val="006C54BF"/>
    <w:rsid w:val="00BD48A0"/>
    <w:rsid w:val="00C653E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F184C"/>
  <w15:docId w15:val="{6630B8FE-8E38-45D3-A9DA-10446E7F2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ko-K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le">
    <w:name w:val="Title"/>
    <w:next w:val="BodyText"/>
    <w:uiPriority w:val="10"/>
    <w:qFormat/>
    <w:pPr>
      <w:keepNext/>
      <w:keepLines/>
      <w:spacing w:before="480" w:after="240"/>
      <w:jc w:val="center"/>
    </w:pPr>
    <w:rPr>
      <w:rFonts w:ascii="Calibri" w:hAnsi="Calibri" w:cs="Arial Unicode MS"/>
      <w:b/>
      <w:bCs/>
      <w:color w:val="345A8A"/>
      <w:sz w:val="36"/>
      <w:szCs w:val="36"/>
      <w:u w:color="345A8A"/>
      <w14:textOutline w14:w="0" w14:cap="flat" w14:cmpd="sng" w14:algn="ctr">
        <w14:noFill/>
        <w14:prstDash w14:val="solid"/>
        <w14:bevel/>
      </w14:textOutline>
    </w:rPr>
  </w:style>
  <w:style w:type="paragraph" w:styleId="BodyText">
    <w:name w:val="Body Text"/>
    <w:pPr>
      <w:spacing w:before="180" w:after="180"/>
    </w:pPr>
    <w:rPr>
      <w:rFonts w:ascii="Cambria" w:hAnsi="Cambria" w:cs="Arial Unicode MS"/>
      <w:color w:val="000000"/>
      <w:sz w:val="24"/>
      <w:szCs w:val="24"/>
      <w:u w:color="000000"/>
    </w:rPr>
  </w:style>
  <w:style w:type="paragraph" w:customStyle="1" w:styleId="Author">
    <w:name w:val="Author"/>
    <w:next w:val="BodyText"/>
    <w:pPr>
      <w:keepNext/>
      <w:keepLines/>
      <w:spacing w:after="200"/>
      <w:jc w:val="center"/>
    </w:pPr>
    <w:rPr>
      <w:rFonts w:ascii="Cambria" w:hAnsi="Cambria" w:cs="Arial Unicode MS"/>
      <w:color w:val="000000"/>
      <w:sz w:val="24"/>
      <w:szCs w:val="24"/>
      <w:u w:color="000000"/>
    </w:rPr>
  </w:style>
  <w:style w:type="paragraph" w:customStyle="1" w:styleId="FirstParagraph">
    <w:name w:val="First Paragraph"/>
    <w:next w:val="BodyText"/>
    <w:pPr>
      <w:spacing w:before="180" w:after="180"/>
    </w:pPr>
    <w:rPr>
      <w:rFonts w:ascii="Cambria" w:eastAsia="Cambria" w:hAnsi="Cambria" w:cs="Cambria"/>
      <w:color w:val="000000"/>
      <w:sz w:val="24"/>
      <w:szCs w:val="24"/>
      <w:u w:color="000000"/>
    </w:rPr>
  </w:style>
  <w:style w:type="paragraph" w:customStyle="1" w:styleId="Body">
    <w:name w:val="Body"/>
    <w:pPr>
      <w:spacing w:after="200"/>
    </w:pPr>
    <w:rPr>
      <w:rFonts w:ascii="Cambria" w:hAnsi="Cambria" w:cs="Arial Unicode MS"/>
      <w:color w:val="000000"/>
      <w:sz w:val="24"/>
      <w:szCs w:val="24"/>
      <w:u w:color="000000"/>
      <w14:textOutline w14:w="0" w14:cap="flat" w14:cmpd="sng" w14:algn="ctr">
        <w14:noFill/>
        <w14:prstDash w14:val="solid"/>
        <w14:bevel/>
      </w14:textOutline>
    </w:rPr>
  </w:style>
  <w:style w:type="character" w:customStyle="1" w:styleId="VerbatimChar">
    <w:name w:val="Verbatim Char"/>
    <w:rPr>
      <w:rFonts w:ascii="Consolas" w:eastAsia="Consolas" w:hAnsi="Consolas" w:cs="Consolas"/>
      <w:sz w:val="22"/>
      <w:szCs w:val="22"/>
      <w:lang w:val="it-IT"/>
    </w:rPr>
  </w:style>
  <w:style w:type="paragraph" w:styleId="FootnoteText">
    <w:name w:val="footnote text"/>
    <w:pPr>
      <w:spacing w:after="200"/>
    </w:pPr>
    <w:rPr>
      <w:rFonts w:ascii="Cambria" w:eastAsia="Cambria" w:hAnsi="Cambria" w:cs="Cambria"/>
      <w:color w:val="000000"/>
      <w:sz w:val="24"/>
      <w:szCs w:val="24"/>
      <w:u w:color="000000"/>
    </w:rPr>
  </w:style>
  <w:style w:type="character" w:customStyle="1" w:styleId="Hyperlink0">
    <w:name w:val="Hyperlink.0"/>
    <w:basedOn w:val="Hyperlink"/>
    <w:rPr>
      <w:outline w:val="0"/>
      <w:color w:val="4F81BD"/>
      <w:u w:val="single" w:color="4F81BD"/>
    </w:rPr>
  </w:style>
  <w:style w:type="paragraph" w:styleId="ListParagraph">
    <w:name w:val="List Paragraph"/>
    <w:pPr>
      <w:ind w:left="720"/>
    </w:pPr>
    <w:rPr>
      <w:rFonts w:ascii="Cambria" w:eastAsia="Cambria" w:hAnsi="Cambria" w:cs="Cambria"/>
      <w:color w:val="000000"/>
      <w:sz w:val="24"/>
      <w:szCs w:val="24"/>
      <w:u w:color="000000"/>
    </w:rPr>
  </w:style>
  <w:style w:type="character" w:customStyle="1" w:styleId="Hyperlink1">
    <w:name w:val="Hyperlink.1"/>
    <w:basedOn w:val="Hyperlink0"/>
    <w:rPr>
      <w:rFonts w:ascii="Times New Roman" w:eastAsia="Times New Roman" w:hAnsi="Times New Roman" w:cs="Times New Roman"/>
      <w:outline w:val="0"/>
      <w:color w:val="4F81BD"/>
      <w:u w:val="single" w:color="4F81BD"/>
    </w:rPr>
  </w:style>
  <w:style w:type="numbering" w:customStyle="1" w:styleId="ImportedStyle1">
    <w:name w:val="Imported Style 1"/>
    <w:pPr>
      <w:numPr>
        <w:numId w:val="1"/>
      </w:numPr>
    </w:pPr>
  </w:style>
  <w:style w:type="paragraph" w:customStyle="1" w:styleId="Quicka">
    <w:name w:val="Quick a)"/>
    <w:pPr>
      <w:widowControl w:val="0"/>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Calibri"/>
        <a:ea typeface="Calibri"/>
        <a:cs typeface="Calibri"/>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2748</Characters>
  <Application>Microsoft Office Word</Application>
  <DocSecurity>0</DocSecurity>
  <Lines>22</Lines>
  <Paragraphs>6</Paragraphs>
  <ScaleCrop>false</ScaleCrop>
  <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Bk Sammy</cp:lastModifiedBy>
  <cp:revision>3</cp:revision>
  <dcterms:created xsi:type="dcterms:W3CDTF">2022-04-22T19:12:00Z</dcterms:created>
  <dcterms:modified xsi:type="dcterms:W3CDTF">2022-04-22T19:12:00Z</dcterms:modified>
</cp:coreProperties>
</file>