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F672A" w14:textId="5F9EE598" w:rsidR="0010690A" w:rsidRDefault="002513F1">
      <w:pPr>
        <w:rPr>
          <w:rFonts w:ascii="Seaford" w:hAnsi="Seaford"/>
        </w:rPr>
      </w:pPr>
      <w:r>
        <w:rPr>
          <w:rFonts w:ascii="Seaford" w:hAnsi="Seaford"/>
        </w:rPr>
        <w:t xml:space="preserve">A recent community health survey </w:t>
      </w:r>
      <w:r w:rsidR="00C9609B">
        <w:rPr>
          <w:rFonts w:ascii="Seaford" w:hAnsi="Seaford"/>
        </w:rPr>
        <w:t>conducted on the teens of Testalot suggested an alarmingly high rate of smoking.</w:t>
      </w:r>
      <w:r w:rsidR="005B228B">
        <w:rPr>
          <w:rFonts w:ascii="Seaford" w:hAnsi="Seaford"/>
        </w:rPr>
        <w:t xml:space="preserve">  The concerned parents of Testalot, never ones to </w:t>
      </w:r>
      <w:r w:rsidR="00AF6D11">
        <w:rPr>
          <w:rFonts w:ascii="Seaford" w:hAnsi="Seaford"/>
        </w:rPr>
        <w:t xml:space="preserve">let a reason for public advocacy go </w:t>
      </w:r>
      <w:r w:rsidR="00750D92">
        <w:rPr>
          <w:rFonts w:ascii="Seaford" w:hAnsi="Seaford"/>
        </w:rPr>
        <w:t xml:space="preserve">unrealized, have started picketing the storefront of the only convenience store in town that sells cigarettes.  The parents have assumed that </w:t>
      </w:r>
      <w:r w:rsidR="002B0769">
        <w:rPr>
          <w:rFonts w:ascii="Seaford" w:hAnsi="Seaford"/>
        </w:rPr>
        <w:t xml:space="preserve">if they can stop the selling of cigarettes at the source, then they will stop the teens of Testalot from </w:t>
      </w:r>
      <w:r w:rsidR="00455950">
        <w:rPr>
          <w:rFonts w:ascii="Seaford" w:hAnsi="Seaford"/>
        </w:rPr>
        <w:t xml:space="preserve">either starting or </w:t>
      </w:r>
      <w:r w:rsidR="002B0769">
        <w:rPr>
          <w:rFonts w:ascii="Seaford" w:hAnsi="Seaford"/>
        </w:rPr>
        <w:t>continuing to smoke.</w:t>
      </w:r>
      <w:r w:rsidR="00455950">
        <w:rPr>
          <w:rFonts w:ascii="Seaford" w:hAnsi="Seaford"/>
        </w:rPr>
        <w:t xml:space="preserve">  </w:t>
      </w:r>
      <w:r w:rsidR="008E6464">
        <w:rPr>
          <w:rFonts w:ascii="Seaford" w:hAnsi="Seaford"/>
        </w:rPr>
        <w:t xml:space="preserve">This goes on for several months despite the protests of the convenience store owner who believes that the solution for preventing teenage smoking is more complicated that just stopping the purchase of cigarettes.  </w:t>
      </w:r>
      <w:r w:rsidR="00AC2FB1">
        <w:rPr>
          <w:rFonts w:ascii="Seaford" w:hAnsi="Seaford"/>
        </w:rPr>
        <w:t>The convenience store owner</w:t>
      </w:r>
      <w:r w:rsidR="00D979F2">
        <w:rPr>
          <w:rFonts w:ascii="Seaford" w:hAnsi="Seaford"/>
        </w:rPr>
        <w:t xml:space="preserve">, </w:t>
      </w:r>
      <w:proofErr w:type="spellStart"/>
      <w:r w:rsidR="00D979F2">
        <w:rPr>
          <w:rFonts w:ascii="Seaford" w:hAnsi="Seaford"/>
        </w:rPr>
        <w:t>Richarde</w:t>
      </w:r>
      <w:proofErr w:type="spellEnd"/>
      <w:r w:rsidR="00D979F2">
        <w:rPr>
          <w:rFonts w:ascii="Seaford" w:hAnsi="Seaford"/>
        </w:rPr>
        <w:t xml:space="preserve">, </w:t>
      </w:r>
      <w:r w:rsidR="00AC2FB1">
        <w:rPr>
          <w:rFonts w:ascii="Seaford" w:hAnsi="Seaford"/>
        </w:rPr>
        <w:t xml:space="preserve">approaches the Testalot University </w:t>
      </w:r>
      <w:r w:rsidR="00124463">
        <w:rPr>
          <w:rFonts w:ascii="Seaford" w:hAnsi="Seaford"/>
        </w:rPr>
        <w:t>Community Health</w:t>
      </w:r>
      <w:r w:rsidR="00AC2FB1">
        <w:rPr>
          <w:rFonts w:ascii="Seaford" w:hAnsi="Seaford"/>
        </w:rPr>
        <w:t xml:space="preserve"> department</w:t>
      </w:r>
      <w:r w:rsidR="00F56B91">
        <w:rPr>
          <w:rFonts w:ascii="Seaford" w:hAnsi="Seaford"/>
        </w:rPr>
        <w:t xml:space="preserve"> for some assistance</w:t>
      </w:r>
      <w:r w:rsidR="00D979F2">
        <w:rPr>
          <w:rFonts w:ascii="Seaford" w:hAnsi="Seaford"/>
        </w:rPr>
        <w:t>.</w:t>
      </w:r>
      <w:r w:rsidR="002B0769">
        <w:rPr>
          <w:rFonts w:ascii="Seaford" w:hAnsi="Seaford"/>
        </w:rPr>
        <w:t xml:space="preserve">  </w:t>
      </w:r>
      <w:proofErr w:type="spellStart"/>
      <w:r w:rsidR="00D979F2">
        <w:rPr>
          <w:rFonts w:ascii="Seaford" w:hAnsi="Seaford"/>
        </w:rPr>
        <w:t>Richarde</w:t>
      </w:r>
      <w:proofErr w:type="spellEnd"/>
      <w:r w:rsidR="00D979F2">
        <w:rPr>
          <w:rFonts w:ascii="Seaford" w:hAnsi="Seaford"/>
        </w:rPr>
        <w:t xml:space="preserve"> </w:t>
      </w:r>
      <w:r w:rsidR="0040231E">
        <w:rPr>
          <w:rFonts w:ascii="Seaford" w:hAnsi="Seaford"/>
        </w:rPr>
        <w:t xml:space="preserve">reviews </w:t>
      </w:r>
      <w:r w:rsidR="00124463">
        <w:rPr>
          <w:rFonts w:ascii="Seaford" w:hAnsi="Seaford"/>
        </w:rPr>
        <w:t>the</w:t>
      </w:r>
      <w:r w:rsidR="0040231E">
        <w:rPr>
          <w:rFonts w:ascii="Seaford" w:hAnsi="Seaford"/>
        </w:rPr>
        <w:t xml:space="preserve"> concerns</w:t>
      </w:r>
      <w:r w:rsidR="001545AD">
        <w:rPr>
          <w:rFonts w:ascii="Seaford" w:hAnsi="Seaford"/>
        </w:rPr>
        <w:t xml:space="preserve"> of the parents of Testalot</w:t>
      </w:r>
      <w:r w:rsidR="0040231E">
        <w:rPr>
          <w:rFonts w:ascii="Seaford" w:hAnsi="Seaford"/>
        </w:rPr>
        <w:t xml:space="preserve"> with the </w:t>
      </w:r>
      <w:r w:rsidR="001545AD">
        <w:rPr>
          <w:rFonts w:ascii="Seaford" w:hAnsi="Seaford"/>
        </w:rPr>
        <w:t xml:space="preserve">university </w:t>
      </w:r>
      <w:r w:rsidR="0040231E">
        <w:rPr>
          <w:rFonts w:ascii="Seaford" w:hAnsi="Seaford"/>
        </w:rPr>
        <w:t>staff</w:t>
      </w:r>
      <w:r w:rsidR="007A66ED">
        <w:rPr>
          <w:rFonts w:ascii="Seaford" w:hAnsi="Seaford"/>
        </w:rPr>
        <w:t xml:space="preserve"> </w:t>
      </w:r>
      <w:r w:rsidR="0040231E">
        <w:rPr>
          <w:rFonts w:ascii="Seaford" w:hAnsi="Seaford"/>
        </w:rPr>
        <w:t xml:space="preserve">and asks them to conduct an observational study </w:t>
      </w:r>
      <w:r w:rsidR="000D705F">
        <w:rPr>
          <w:rFonts w:ascii="Seaford" w:hAnsi="Seaford"/>
        </w:rPr>
        <w:t xml:space="preserve">examining if there are other determinants of teen smoking that are </w:t>
      </w:r>
      <w:r w:rsidR="00404C30">
        <w:rPr>
          <w:rFonts w:ascii="Seaford" w:hAnsi="Seaford"/>
        </w:rPr>
        <w:t xml:space="preserve">important, if not more important, than </w:t>
      </w:r>
      <w:r w:rsidR="003A5F1E">
        <w:rPr>
          <w:rFonts w:ascii="Seaford" w:hAnsi="Seaford"/>
        </w:rPr>
        <w:t>just stopping cigarette sales</w:t>
      </w:r>
      <w:r w:rsidR="000F50F0">
        <w:rPr>
          <w:rFonts w:ascii="Seaford" w:hAnsi="Seaford"/>
        </w:rPr>
        <w:t xml:space="preserve"> in his convenience store</w:t>
      </w:r>
      <w:r w:rsidR="003A5F1E">
        <w:rPr>
          <w:rFonts w:ascii="Seaford" w:hAnsi="Seaford"/>
        </w:rPr>
        <w:t xml:space="preserve">. </w:t>
      </w:r>
    </w:p>
    <w:p w14:paraId="3B015D99" w14:textId="77777777" w:rsidR="0092328E" w:rsidRDefault="0092328E">
      <w:pPr>
        <w:rPr>
          <w:rFonts w:ascii="Seaford" w:hAnsi="Seaford"/>
        </w:rPr>
      </w:pPr>
    </w:p>
    <w:p w14:paraId="7EE89656" w14:textId="009D8DE9" w:rsidR="0092328E" w:rsidRDefault="0092328E">
      <w:pPr>
        <w:rPr>
          <w:rFonts w:ascii="Seaford" w:hAnsi="Seaford"/>
        </w:rPr>
      </w:pPr>
      <w:r>
        <w:rPr>
          <w:rFonts w:ascii="Seaford" w:hAnsi="Seaford"/>
        </w:rPr>
        <w:t xml:space="preserve">Your PhD supervisor approaches you to help answer </w:t>
      </w:r>
      <w:proofErr w:type="spellStart"/>
      <w:r w:rsidR="00FA69BE">
        <w:rPr>
          <w:rFonts w:ascii="Seaford" w:hAnsi="Seaford"/>
        </w:rPr>
        <w:t>Richarde’s</w:t>
      </w:r>
      <w:proofErr w:type="spellEnd"/>
      <w:r w:rsidR="00FA69BE">
        <w:rPr>
          <w:rFonts w:ascii="Seaford" w:hAnsi="Seaford"/>
        </w:rPr>
        <w:t xml:space="preserve"> question.  As always, you create a panel of experts and stakeholders to develop a testable causal model</w:t>
      </w:r>
      <w:r w:rsidR="00F563BE">
        <w:rPr>
          <w:rFonts w:ascii="Seaford" w:hAnsi="Seaford"/>
        </w:rPr>
        <w:t xml:space="preserve"> that may shed light on </w:t>
      </w:r>
      <w:proofErr w:type="spellStart"/>
      <w:r w:rsidR="00F563BE">
        <w:rPr>
          <w:rFonts w:ascii="Seaford" w:hAnsi="Seaford"/>
        </w:rPr>
        <w:t>Richarde’s</w:t>
      </w:r>
      <w:proofErr w:type="spellEnd"/>
      <w:r w:rsidR="00F563BE">
        <w:rPr>
          <w:rFonts w:ascii="Seaford" w:hAnsi="Seaford"/>
        </w:rPr>
        <w:t xml:space="preserve"> </w:t>
      </w:r>
      <w:r w:rsidR="007A1DC1">
        <w:rPr>
          <w:rFonts w:ascii="Seaford" w:hAnsi="Seaford"/>
        </w:rPr>
        <w:t>questions</w:t>
      </w:r>
      <w:r w:rsidR="00F563BE">
        <w:rPr>
          <w:rFonts w:ascii="Seaford" w:hAnsi="Seaford"/>
        </w:rPr>
        <w:t xml:space="preserve">.  </w:t>
      </w:r>
      <w:r w:rsidR="001545AD">
        <w:rPr>
          <w:rFonts w:ascii="Seaford" w:hAnsi="Seaford"/>
        </w:rPr>
        <w:t xml:space="preserve">Your expert/stakeholder committee </w:t>
      </w:r>
      <w:r w:rsidR="001D6032">
        <w:rPr>
          <w:rFonts w:ascii="Seaford" w:hAnsi="Seaford"/>
        </w:rPr>
        <w:t xml:space="preserve">also </w:t>
      </w:r>
      <w:r w:rsidR="00EE7140">
        <w:rPr>
          <w:rFonts w:ascii="Seaford" w:hAnsi="Seaford"/>
        </w:rPr>
        <w:t xml:space="preserve">includes members of the concerned parents of Testalot </w:t>
      </w:r>
      <w:r w:rsidR="001D6032">
        <w:rPr>
          <w:rFonts w:ascii="Seaford" w:hAnsi="Seaford"/>
        </w:rPr>
        <w:t xml:space="preserve">to ensure that there is consensus on the causal model that you plan to test.  </w:t>
      </w:r>
      <w:r w:rsidR="00F563BE">
        <w:rPr>
          <w:rFonts w:ascii="Seaford" w:hAnsi="Seaford"/>
        </w:rPr>
        <w:t xml:space="preserve">After much debate, the panel </w:t>
      </w:r>
      <w:r w:rsidR="00597D42">
        <w:rPr>
          <w:rFonts w:ascii="Seaford" w:hAnsi="Seaford"/>
        </w:rPr>
        <w:t>unanimously agrees to test the following causal model.</w:t>
      </w:r>
    </w:p>
    <w:p w14:paraId="25518389" w14:textId="77777777" w:rsidR="0038508F" w:rsidRDefault="0038508F">
      <w:pPr>
        <w:rPr>
          <w:rFonts w:ascii="Seaford" w:hAnsi="Seaford"/>
        </w:rPr>
      </w:pPr>
    </w:p>
    <w:p w14:paraId="214D56C3" w14:textId="1C4CE32F" w:rsidR="0038508F" w:rsidRDefault="0038508F">
      <w:pPr>
        <w:rPr>
          <w:rFonts w:ascii="Seaford" w:hAnsi="Seaford"/>
        </w:rPr>
      </w:pPr>
      <w:r>
        <w:rPr>
          <w:rFonts w:ascii="Seaford" w:hAnsi="Seaford"/>
          <w:noProof/>
        </w:rPr>
        <w:drawing>
          <wp:inline distT="0" distB="0" distL="0" distR="0" wp14:anchorId="4CB446A2" wp14:editId="585F91F1">
            <wp:extent cx="5511800" cy="2857500"/>
            <wp:effectExtent l="0" t="0" r="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5511800" cy="2857500"/>
                    </a:xfrm>
                    <a:prstGeom prst="rect">
                      <a:avLst/>
                    </a:prstGeom>
                  </pic:spPr>
                </pic:pic>
              </a:graphicData>
            </a:graphic>
          </wp:inline>
        </w:drawing>
      </w:r>
    </w:p>
    <w:p w14:paraId="5ACE1E4C" w14:textId="77777777" w:rsidR="00F563BE" w:rsidRDefault="00F563BE">
      <w:pPr>
        <w:rPr>
          <w:rFonts w:ascii="Seaford" w:hAnsi="Seaford"/>
        </w:rPr>
      </w:pPr>
    </w:p>
    <w:p w14:paraId="65044F50" w14:textId="6127529F" w:rsidR="00F563BE" w:rsidRDefault="0038508F">
      <w:pPr>
        <w:rPr>
          <w:rFonts w:ascii="Seaford" w:hAnsi="Seaford"/>
        </w:rPr>
      </w:pPr>
      <w:r>
        <w:rPr>
          <w:rFonts w:ascii="Seaford" w:hAnsi="Seaford"/>
        </w:rPr>
        <w:t>Outcome=</w:t>
      </w:r>
      <w:proofErr w:type="spellStart"/>
      <w:r>
        <w:rPr>
          <w:rFonts w:ascii="Seaford" w:hAnsi="Seaford"/>
        </w:rPr>
        <w:t>TeenSmoker</w:t>
      </w:r>
      <w:proofErr w:type="spellEnd"/>
    </w:p>
    <w:p w14:paraId="6747883C" w14:textId="5E825608" w:rsidR="0038508F" w:rsidRDefault="0038508F">
      <w:pPr>
        <w:rPr>
          <w:rFonts w:ascii="Seaford" w:hAnsi="Seaford"/>
        </w:rPr>
      </w:pPr>
      <w:r>
        <w:rPr>
          <w:rFonts w:ascii="Seaford" w:hAnsi="Seaford"/>
        </w:rPr>
        <w:t>Exposure=</w:t>
      </w:r>
      <w:proofErr w:type="spellStart"/>
      <w:r>
        <w:rPr>
          <w:rFonts w:ascii="Seaford" w:hAnsi="Seaford"/>
        </w:rPr>
        <w:t>StoreAccess</w:t>
      </w:r>
      <w:proofErr w:type="spellEnd"/>
    </w:p>
    <w:p w14:paraId="20BC2693" w14:textId="5D50989C" w:rsidR="0038508F" w:rsidRDefault="0038508F">
      <w:pPr>
        <w:rPr>
          <w:rFonts w:ascii="Seaford" w:hAnsi="Seaford"/>
        </w:rPr>
      </w:pPr>
      <w:r>
        <w:rPr>
          <w:rFonts w:ascii="Seaford" w:hAnsi="Seaford"/>
        </w:rPr>
        <w:t xml:space="preserve">Common Cause=Gender, </w:t>
      </w:r>
      <w:proofErr w:type="spellStart"/>
      <w:r>
        <w:rPr>
          <w:rFonts w:ascii="Seaford" w:hAnsi="Seaford"/>
        </w:rPr>
        <w:t>PeerInfluence</w:t>
      </w:r>
      <w:proofErr w:type="spellEnd"/>
      <w:r>
        <w:rPr>
          <w:rFonts w:ascii="Seaford" w:hAnsi="Seaford"/>
        </w:rPr>
        <w:t>,</w:t>
      </w:r>
      <w:r w:rsidR="00F83863">
        <w:rPr>
          <w:rFonts w:ascii="Seaford" w:hAnsi="Seaford"/>
        </w:rPr>
        <w:t xml:space="preserve"> &amp; Age</w:t>
      </w:r>
    </w:p>
    <w:p w14:paraId="068144F4" w14:textId="0BEAD239" w:rsidR="00F83863" w:rsidRDefault="00F83863">
      <w:pPr>
        <w:rPr>
          <w:rFonts w:ascii="Seaford" w:hAnsi="Seaford"/>
        </w:rPr>
      </w:pPr>
      <w:r>
        <w:rPr>
          <w:rFonts w:ascii="Seaford" w:hAnsi="Seaford"/>
        </w:rPr>
        <w:lastRenderedPageBreak/>
        <w:t>The consensus data definitions for the random variables in the causal model are as follows:</w:t>
      </w:r>
    </w:p>
    <w:p w14:paraId="0014BCFE" w14:textId="77777777" w:rsidR="00F83863" w:rsidRDefault="00F83863">
      <w:pPr>
        <w:rPr>
          <w:rFonts w:ascii="Seaford" w:hAnsi="Seaford"/>
        </w:rPr>
      </w:pPr>
    </w:p>
    <w:tbl>
      <w:tblPr>
        <w:tblStyle w:val="TableGrid"/>
        <w:tblW w:w="0" w:type="auto"/>
        <w:tblLook w:val="04A0" w:firstRow="1" w:lastRow="0" w:firstColumn="1" w:lastColumn="0" w:noHBand="0" w:noVBand="1"/>
      </w:tblPr>
      <w:tblGrid>
        <w:gridCol w:w="2341"/>
        <w:gridCol w:w="3765"/>
        <w:gridCol w:w="3244"/>
      </w:tblGrid>
      <w:tr w:rsidR="006C6932" w14:paraId="1D0487CE" w14:textId="04855DA7" w:rsidTr="006C6932">
        <w:tc>
          <w:tcPr>
            <w:tcW w:w="2341" w:type="dxa"/>
          </w:tcPr>
          <w:p w14:paraId="2BBC3C62" w14:textId="42CDD8C9" w:rsidR="006C6932" w:rsidRDefault="006C6932">
            <w:pPr>
              <w:rPr>
                <w:rFonts w:ascii="Seaford" w:hAnsi="Seaford"/>
              </w:rPr>
            </w:pPr>
            <w:r>
              <w:rPr>
                <w:rFonts w:ascii="Seaford" w:hAnsi="Seaford"/>
              </w:rPr>
              <w:t>Random Variable</w:t>
            </w:r>
          </w:p>
        </w:tc>
        <w:tc>
          <w:tcPr>
            <w:tcW w:w="3765" w:type="dxa"/>
          </w:tcPr>
          <w:p w14:paraId="6F6551EB" w14:textId="0316C882" w:rsidR="006C6932" w:rsidRDefault="006C6932">
            <w:pPr>
              <w:rPr>
                <w:rFonts w:ascii="Seaford" w:hAnsi="Seaford"/>
              </w:rPr>
            </w:pPr>
            <w:r>
              <w:rPr>
                <w:rFonts w:ascii="Seaford" w:hAnsi="Seaford"/>
              </w:rPr>
              <w:t>Definition</w:t>
            </w:r>
          </w:p>
        </w:tc>
        <w:tc>
          <w:tcPr>
            <w:tcW w:w="3244" w:type="dxa"/>
          </w:tcPr>
          <w:p w14:paraId="0B668984" w14:textId="1125D166" w:rsidR="006C6932" w:rsidRDefault="006C6932">
            <w:pPr>
              <w:rPr>
                <w:rFonts w:ascii="Seaford" w:hAnsi="Seaford"/>
              </w:rPr>
            </w:pPr>
            <w:r>
              <w:rPr>
                <w:rFonts w:ascii="Seaford" w:hAnsi="Seaford"/>
              </w:rPr>
              <w:t>Levels/Range</w:t>
            </w:r>
          </w:p>
        </w:tc>
      </w:tr>
      <w:tr w:rsidR="006C6932" w14:paraId="0CCE6681" w14:textId="117854B6" w:rsidTr="006C6932">
        <w:tc>
          <w:tcPr>
            <w:tcW w:w="2341" w:type="dxa"/>
          </w:tcPr>
          <w:p w14:paraId="51DA9ECF" w14:textId="18A7EF6B" w:rsidR="006C6932" w:rsidRDefault="006C6932">
            <w:pPr>
              <w:rPr>
                <w:rFonts w:ascii="Seaford" w:hAnsi="Seaford"/>
              </w:rPr>
            </w:pPr>
            <w:proofErr w:type="spellStart"/>
            <w:r>
              <w:rPr>
                <w:rFonts w:ascii="Seaford" w:hAnsi="Seaford"/>
              </w:rPr>
              <w:t>TeenSmoker</w:t>
            </w:r>
            <w:proofErr w:type="spellEnd"/>
          </w:p>
        </w:tc>
        <w:tc>
          <w:tcPr>
            <w:tcW w:w="3765" w:type="dxa"/>
          </w:tcPr>
          <w:p w14:paraId="4B0B5526" w14:textId="0CD8C50A" w:rsidR="006C6932" w:rsidRPr="00F83863" w:rsidRDefault="006C6932">
            <w:pPr>
              <w:rPr>
                <w:rFonts w:ascii="Cambria Math" w:hAnsi="Cambria Math"/>
                <w:lang w:eastAsia="zh-CN"/>
              </w:rPr>
            </w:pPr>
            <w:r>
              <w:rPr>
                <w:rFonts w:ascii="Seaford" w:hAnsi="Seaford"/>
              </w:rPr>
              <w:t xml:space="preserve">Smoked </w:t>
            </w:r>
            <w:r>
              <w:rPr>
                <w:rFonts w:ascii="Cambria Math" w:eastAsiaTheme="minorHAnsi" w:hAnsi="Cambria Math" w:hint="eastAsia"/>
                <w:lang w:eastAsia="zh-CN"/>
              </w:rPr>
              <w:t>≥</w:t>
            </w:r>
            <w:r>
              <w:rPr>
                <w:rFonts w:ascii="Cambria Math" w:eastAsiaTheme="minorHAnsi" w:hAnsi="Cambria Math" w:hint="eastAsia"/>
                <w:lang w:eastAsia="zh-CN"/>
              </w:rPr>
              <w:t xml:space="preserve"> </w:t>
            </w:r>
            <w:r>
              <w:rPr>
                <w:rFonts w:ascii="Cambria Math" w:eastAsiaTheme="minorHAnsi" w:hAnsi="Cambria Math"/>
                <w:lang w:eastAsia="zh-CN"/>
              </w:rPr>
              <w:t xml:space="preserve">1 cigarette in last </w:t>
            </w:r>
            <w:r w:rsidR="007F092B">
              <w:rPr>
                <w:rFonts w:ascii="Cambria Math" w:eastAsiaTheme="minorHAnsi" w:hAnsi="Cambria Math"/>
                <w:lang w:eastAsia="zh-CN"/>
              </w:rPr>
              <w:t>7 days</w:t>
            </w:r>
            <w:r>
              <w:rPr>
                <w:rFonts w:ascii="Cambria Math" w:eastAsiaTheme="minorHAnsi" w:hAnsi="Cambria Math"/>
                <w:lang w:eastAsia="zh-CN"/>
              </w:rPr>
              <w:t xml:space="preserve"> </w:t>
            </w:r>
          </w:p>
        </w:tc>
        <w:tc>
          <w:tcPr>
            <w:tcW w:w="3244" w:type="dxa"/>
          </w:tcPr>
          <w:p w14:paraId="50568503" w14:textId="17AF6865" w:rsidR="006C6932" w:rsidRDefault="007F092B">
            <w:pPr>
              <w:rPr>
                <w:rFonts w:ascii="Seaford" w:hAnsi="Seaford"/>
              </w:rPr>
            </w:pPr>
            <w:r>
              <w:rPr>
                <w:rFonts w:ascii="Seaford" w:hAnsi="Seaford"/>
              </w:rPr>
              <w:t>Yes//No</w:t>
            </w:r>
          </w:p>
        </w:tc>
      </w:tr>
      <w:tr w:rsidR="006C6932" w14:paraId="14A39233" w14:textId="64C773A4" w:rsidTr="006C6932">
        <w:tc>
          <w:tcPr>
            <w:tcW w:w="2341" w:type="dxa"/>
          </w:tcPr>
          <w:p w14:paraId="653F1237" w14:textId="01E7BD69" w:rsidR="006C6932" w:rsidRDefault="006C6932">
            <w:pPr>
              <w:rPr>
                <w:rFonts w:ascii="Seaford" w:hAnsi="Seaford"/>
              </w:rPr>
            </w:pPr>
            <w:proofErr w:type="spellStart"/>
            <w:r>
              <w:rPr>
                <w:rFonts w:ascii="Seaford" w:hAnsi="Seaford"/>
              </w:rPr>
              <w:t>StoreAccess</w:t>
            </w:r>
            <w:proofErr w:type="spellEnd"/>
          </w:p>
        </w:tc>
        <w:tc>
          <w:tcPr>
            <w:tcW w:w="3765" w:type="dxa"/>
          </w:tcPr>
          <w:p w14:paraId="3FAAC064" w14:textId="4033B73F" w:rsidR="006C6932" w:rsidRDefault="007F092B">
            <w:pPr>
              <w:rPr>
                <w:rFonts w:ascii="Seaford" w:hAnsi="Seaford"/>
              </w:rPr>
            </w:pPr>
            <w:r>
              <w:rPr>
                <w:rFonts w:ascii="Seaford" w:hAnsi="Seaford"/>
              </w:rPr>
              <w:t xml:space="preserve"># </w:t>
            </w:r>
            <w:r w:rsidR="00DF3B8B">
              <w:rPr>
                <w:rFonts w:ascii="Seaford" w:hAnsi="Seaford"/>
              </w:rPr>
              <w:t>t</w:t>
            </w:r>
            <w:r>
              <w:rPr>
                <w:rFonts w:ascii="Seaford" w:hAnsi="Seaford"/>
              </w:rPr>
              <w:t xml:space="preserve">imes visited </w:t>
            </w:r>
            <w:proofErr w:type="spellStart"/>
            <w:r>
              <w:rPr>
                <w:rFonts w:ascii="Seaford" w:hAnsi="Seaford"/>
              </w:rPr>
              <w:t>Richarde’s</w:t>
            </w:r>
            <w:proofErr w:type="spellEnd"/>
            <w:r>
              <w:rPr>
                <w:rFonts w:ascii="Seaford" w:hAnsi="Seaford"/>
              </w:rPr>
              <w:t xml:space="preserve"> convenience store in last 7 days</w:t>
            </w:r>
          </w:p>
        </w:tc>
        <w:tc>
          <w:tcPr>
            <w:tcW w:w="3244" w:type="dxa"/>
          </w:tcPr>
          <w:p w14:paraId="52AC4952" w14:textId="32D4D5E4" w:rsidR="006C6932" w:rsidRDefault="008F1EE3">
            <w:pPr>
              <w:rPr>
                <w:rFonts w:ascii="Seaford" w:hAnsi="Seaford"/>
              </w:rPr>
            </w:pPr>
            <w:r>
              <w:rPr>
                <w:rFonts w:ascii="Seaford" w:hAnsi="Seaford"/>
              </w:rPr>
              <w:t>Never/Between 1-3 times/More than 3 times</w:t>
            </w:r>
          </w:p>
        </w:tc>
      </w:tr>
      <w:tr w:rsidR="006C6932" w14:paraId="255527B2" w14:textId="4CDA4243" w:rsidTr="006C6932">
        <w:tc>
          <w:tcPr>
            <w:tcW w:w="2341" w:type="dxa"/>
          </w:tcPr>
          <w:p w14:paraId="622C6825" w14:textId="51C072FA" w:rsidR="006C6932" w:rsidRDefault="005E0DE1">
            <w:pPr>
              <w:rPr>
                <w:rFonts w:ascii="Seaford" w:hAnsi="Seaford"/>
              </w:rPr>
            </w:pPr>
            <w:r>
              <w:rPr>
                <w:rFonts w:ascii="Seaford" w:hAnsi="Seaford"/>
              </w:rPr>
              <w:t>Age</w:t>
            </w:r>
          </w:p>
        </w:tc>
        <w:tc>
          <w:tcPr>
            <w:tcW w:w="3765" w:type="dxa"/>
          </w:tcPr>
          <w:p w14:paraId="5CA4476E" w14:textId="1FF2F60D" w:rsidR="006C6932" w:rsidRDefault="005E0DE1">
            <w:pPr>
              <w:rPr>
                <w:rFonts w:ascii="Seaford" w:hAnsi="Seaford"/>
              </w:rPr>
            </w:pPr>
            <w:r>
              <w:rPr>
                <w:rFonts w:ascii="Seaford" w:hAnsi="Seaford"/>
              </w:rPr>
              <w:t>Age in years</w:t>
            </w:r>
          </w:p>
        </w:tc>
        <w:tc>
          <w:tcPr>
            <w:tcW w:w="3244" w:type="dxa"/>
          </w:tcPr>
          <w:p w14:paraId="6C2CDF00" w14:textId="5593E2A3" w:rsidR="006C6932" w:rsidRDefault="00DF3B8B">
            <w:pPr>
              <w:rPr>
                <w:rFonts w:ascii="Seaford" w:hAnsi="Seaford"/>
              </w:rPr>
            </w:pPr>
            <w:r>
              <w:rPr>
                <w:rFonts w:ascii="Seaford" w:hAnsi="Seaford"/>
              </w:rPr>
              <w:t>13 to 19</w:t>
            </w:r>
          </w:p>
        </w:tc>
      </w:tr>
      <w:tr w:rsidR="006C6932" w14:paraId="66DADA42" w14:textId="6CD5D499" w:rsidTr="006C6932">
        <w:tc>
          <w:tcPr>
            <w:tcW w:w="2341" w:type="dxa"/>
          </w:tcPr>
          <w:p w14:paraId="4EE09E3F" w14:textId="73315932" w:rsidR="006C6932" w:rsidRDefault="00DF3B8B">
            <w:pPr>
              <w:rPr>
                <w:rFonts w:ascii="Seaford" w:hAnsi="Seaford"/>
              </w:rPr>
            </w:pPr>
            <w:proofErr w:type="spellStart"/>
            <w:r>
              <w:rPr>
                <w:rFonts w:ascii="Seaford" w:hAnsi="Seaford"/>
              </w:rPr>
              <w:t>PeerInfluence</w:t>
            </w:r>
            <w:proofErr w:type="spellEnd"/>
          </w:p>
        </w:tc>
        <w:tc>
          <w:tcPr>
            <w:tcW w:w="3765" w:type="dxa"/>
          </w:tcPr>
          <w:p w14:paraId="1A23B4C6" w14:textId="09CD6BB3" w:rsidR="006C6932" w:rsidRDefault="00DE47EE">
            <w:pPr>
              <w:rPr>
                <w:rFonts w:ascii="Seaford" w:hAnsi="Seaford"/>
              </w:rPr>
            </w:pPr>
            <w:r>
              <w:rPr>
                <w:rFonts w:ascii="Seaford" w:hAnsi="Seaford"/>
              </w:rPr>
              <w:t xml:space="preserve">Perceived degree of peer influence on teen smoking </w:t>
            </w:r>
          </w:p>
        </w:tc>
        <w:tc>
          <w:tcPr>
            <w:tcW w:w="3244" w:type="dxa"/>
          </w:tcPr>
          <w:p w14:paraId="6249DF33" w14:textId="73FC7387" w:rsidR="006C6932" w:rsidRDefault="00DE47EE">
            <w:pPr>
              <w:rPr>
                <w:rFonts w:ascii="Seaford" w:hAnsi="Seaford"/>
              </w:rPr>
            </w:pPr>
            <w:r>
              <w:rPr>
                <w:rFonts w:ascii="Seaford" w:hAnsi="Seaford"/>
              </w:rPr>
              <w:t>None/Moderate/Strong</w:t>
            </w:r>
          </w:p>
        </w:tc>
      </w:tr>
      <w:tr w:rsidR="006C6932" w14:paraId="1DBFDAA1" w14:textId="7787B421" w:rsidTr="006C6932">
        <w:tc>
          <w:tcPr>
            <w:tcW w:w="2341" w:type="dxa"/>
          </w:tcPr>
          <w:p w14:paraId="74F3F701" w14:textId="7A40AFC5" w:rsidR="006C6932" w:rsidRDefault="002839AC">
            <w:pPr>
              <w:rPr>
                <w:rFonts w:ascii="Seaford" w:hAnsi="Seaford"/>
              </w:rPr>
            </w:pPr>
            <w:r>
              <w:rPr>
                <w:rFonts w:ascii="Seaford" w:hAnsi="Seaford"/>
              </w:rPr>
              <w:t>Gender</w:t>
            </w:r>
          </w:p>
        </w:tc>
        <w:tc>
          <w:tcPr>
            <w:tcW w:w="3765" w:type="dxa"/>
          </w:tcPr>
          <w:p w14:paraId="4E57EA2F" w14:textId="757312A3" w:rsidR="006C6932" w:rsidRDefault="002839AC">
            <w:pPr>
              <w:rPr>
                <w:rFonts w:ascii="Seaford" w:hAnsi="Seaford"/>
              </w:rPr>
            </w:pPr>
            <w:r>
              <w:rPr>
                <w:rFonts w:ascii="Seaford" w:hAnsi="Seaford"/>
              </w:rPr>
              <w:t>Biologic sex</w:t>
            </w:r>
          </w:p>
        </w:tc>
        <w:tc>
          <w:tcPr>
            <w:tcW w:w="3244" w:type="dxa"/>
          </w:tcPr>
          <w:p w14:paraId="2C163F7D" w14:textId="38493E42" w:rsidR="006C6932" w:rsidRDefault="002839AC">
            <w:pPr>
              <w:rPr>
                <w:rFonts w:ascii="Seaford" w:hAnsi="Seaford"/>
              </w:rPr>
            </w:pPr>
            <w:r>
              <w:rPr>
                <w:rFonts w:ascii="Seaford" w:hAnsi="Seaford"/>
              </w:rPr>
              <w:t>Male/Female</w:t>
            </w:r>
          </w:p>
        </w:tc>
      </w:tr>
    </w:tbl>
    <w:p w14:paraId="25FF68B0" w14:textId="5D77E462" w:rsidR="00F83863" w:rsidRDefault="00F83863">
      <w:pPr>
        <w:rPr>
          <w:rFonts w:ascii="Seaford" w:hAnsi="Seaford"/>
        </w:rPr>
      </w:pPr>
    </w:p>
    <w:p w14:paraId="587F2C84" w14:textId="0AC6194B" w:rsidR="00402FB0" w:rsidRDefault="00402FB0">
      <w:pPr>
        <w:rPr>
          <w:rFonts w:ascii="Seaford" w:hAnsi="Seaford"/>
        </w:rPr>
      </w:pPr>
      <w:r>
        <w:rPr>
          <w:rFonts w:ascii="Seaford" w:hAnsi="Seaford"/>
        </w:rPr>
        <w:t>The consensus research question</w:t>
      </w:r>
      <w:r w:rsidR="00804997">
        <w:rPr>
          <w:rFonts w:ascii="Seaford" w:hAnsi="Seaford"/>
        </w:rPr>
        <w:t>: Is there an association between</w:t>
      </w:r>
      <w:r w:rsidR="00E66740">
        <w:rPr>
          <w:rFonts w:ascii="Seaford" w:hAnsi="Seaford"/>
        </w:rPr>
        <w:t xml:space="preserve"> access to </w:t>
      </w:r>
      <w:proofErr w:type="spellStart"/>
      <w:r w:rsidR="00E66740">
        <w:rPr>
          <w:rFonts w:ascii="Seaford" w:hAnsi="Seaford"/>
        </w:rPr>
        <w:t>Richarde’s</w:t>
      </w:r>
      <w:proofErr w:type="spellEnd"/>
      <w:r w:rsidR="00E66740">
        <w:rPr>
          <w:rFonts w:ascii="Seaford" w:hAnsi="Seaford"/>
        </w:rPr>
        <w:t xml:space="preserve"> convenience store </w:t>
      </w:r>
      <w:r w:rsidR="00804997">
        <w:rPr>
          <w:rFonts w:ascii="Seaford" w:hAnsi="Seaford"/>
        </w:rPr>
        <w:t>and teen smoking?</w:t>
      </w:r>
    </w:p>
    <w:p w14:paraId="5C03C3AF" w14:textId="77777777" w:rsidR="00804997" w:rsidRDefault="00804997">
      <w:pPr>
        <w:rPr>
          <w:rFonts w:ascii="Seaford" w:hAnsi="Seaford"/>
        </w:rPr>
      </w:pPr>
    </w:p>
    <w:p w14:paraId="6A20E0AA" w14:textId="3021A3D6" w:rsidR="00AE233D" w:rsidRDefault="00B20A54">
      <w:pPr>
        <w:rPr>
          <w:rFonts w:ascii="Seaford" w:hAnsi="Seaford"/>
        </w:rPr>
      </w:pPr>
      <w:r>
        <w:rPr>
          <w:rFonts w:ascii="Seaford" w:hAnsi="Seaford"/>
        </w:rPr>
        <w:t xml:space="preserve">Your plan is to take a random sample of </w:t>
      </w:r>
      <w:r w:rsidR="00A746CF">
        <w:rPr>
          <w:rFonts w:ascii="Seaford" w:hAnsi="Seaford"/>
        </w:rPr>
        <w:t>teens in Testalot</w:t>
      </w:r>
      <w:r w:rsidR="00402FB0">
        <w:rPr>
          <w:rFonts w:ascii="Seaford" w:hAnsi="Seaford"/>
        </w:rPr>
        <w:t xml:space="preserve"> and test the total effect of </w:t>
      </w:r>
      <w:r w:rsidR="00804997">
        <w:rPr>
          <w:rFonts w:ascii="Seaford" w:hAnsi="Seaford"/>
        </w:rPr>
        <w:t xml:space="preserve">the </w:t>
      </w:r>
      <w:r w:rsidR="00402FB0">
        <w:rPr>
          <w:rFonts w:ascii="Seaford" w:hAnsi="Seaford"/>
        </w:rPr>
        <w:t xml:space="preserve">exposure on </w:t>
      </w:r>
      <w:r w:rsidR="008C6BA4">
        <w:rPr>
          <w:rFonts w:ascii="Seaford" w:hAnsi="Seaford"/>
        </w:rPr>
        <w:t xml:space="preserve">the </w:t>
      </w:r>
      <w:r w:rsidR="00402FB0">
        <w:rPr>
          <w:rFonts w:ascii="Seaford" w:hAnsi="Seaford"/>
        </w:rPr>
        <w:t>outcome</w:t>
      </w:r>
      <w:r w:rsidR="00804997">
        <w:rPr>
          <w:rFonts w:ascii="Seaford" w:hAnsi="Seaford"/>
        </w:rPr>
        <w:t xml:space="preserve">.  Both parties, the concerned parents of Testalot and </w:t>
      </w:r>
      <w:proofErr w:type="spellStart"/>
      <w:r w:rsidR="00804997">
        <w:rPr>
          <w:rFonts w:ascii="Seaford" w:hAnsi="Seaford"/>
        </w:rPr>
        <w:t>Richarde</w:t>
      </w:r>
      <w:proofErr w:type="spellEnd"/>
      <w:r w:rsidR="00804997">
        <w:rPr>
          <w:rFonts w:ascii="Seaford" w:hAnsi="Seaford"/>
        </w:rPr>
        <w:t xml:space="preserve">, have agreed that they will abide by </w:t>
      </w:r>
      <w:r w:rsidR="002A7063">
        <w:rPr>
          <w:rFonts w:ascii="Seaford" w:hAnsi="Seaford"/>
        </w:rPr>
        <w:t xml:space="preserve">your </w:t>
      </w:r>
      <w:r w:rsidR="00804997">
        <w:rPr>
          <w:rFonts w:ascii="Seaford" w:hAnsi="Seaford"/>
        </w:rPr>
        <w:t xml:space="preserve">interpretation </w:t>
      </w:r>
      <w:r w:rsidR="00890A03">
        <w:rPr>
          <w:rFonts w:ascii="Seaford" w:hAnsi="Seaford"/>
        </w:rPr>
        <w:t xml:space="preserve">and conclusion </w:t>
      </w:r>
      <w:r w:rsidR="00804997">
        <w:rPr>
          <w:rFonts w:ascii="Seaford" w:hAnsi="Seaford"/>
        </w:rPr>
        <w:t>of the data analysis</w:t>
      </w:r>
      <w:r w:rsidR="002A7063">
        <w:rPr>
          <w:rFonts w:ascii="Seaford" w:hAnsi="Seaford"/>
        </w:rPr>
        <w:t xml:space="preserve">. </w:t>
      </w:r>
      <w:r w:rsidR="00EF29CD">
        <w:rPr>
          <w:rFonts w:ascii="Seaford" w:hAnsi="Seaford"/>
        </w:rPr>
        <w:t xml:space="preserve">  </w:t>
      </w:r>
      <w:proofErr w:type="spellStart"/>
      <w:r w:rsidR="00EF29CD">
        <w:rPr>
          <w:rFonts w:ascii="Seaford" w:hAnsi="Seaford"/>
        </w:rPr>
        <w:t>Richarde</w:t>
      </w:r>
      <w:proofErr w:type="spellEnd"/>
      <w:r w:rsidR="00EF29CD">
        <w:rPr>
          <w:rFonts w:ascii="Seaford" w:hAnsi="Seaford"/>
        </w:rPr>
        <w:t xml:space="preserve"> has agreed to stop selling cigarettes if your analysis suggests that the exposure is related to the outcome.  The concerned parents of Testalot have </w:t>
      </w:r>
      <w:r w:rsidR="00252043">
        <w:rPr>
          <w:rFonts w:ascii="Seaford" w:hAnsi="Seaford"/>
        </w:rPr>
        <w:t xml:space="preserve">not only </w:t>
      </w:r>
      <w:r w:rsidR="00EF29CD">
        <w:rPr>
          <w:rFonts w:ascii="Seaford" w:hAnsi="Seaford"/>
        </w:rPr>
        <w:t xml:space="preserve">agreed to stop </w:t>
      </w:r>
      <w:r w:rsidR="007B00F3">
        <w:rPr>
          <w:rFonts w:ascii="Seaford" w:hAnsi="Seaford"/>
        </w:rPr>
        <w:t xml:space="preserve">picketing </w:t>
      </w:r>
      <w:proofErr w:type="spellStart"/>
      <w:r w:rsidR="007B00F3">
        <w:rPr>
          <w:rFonts w:ascii="Seaford" w:hAnsi="Seaford"/>
        </w:rPr>
        <w:t>Richarde’s</w:t>
      </w:r>
      <w:proofErr w:type="spellEnd"/>
      <w:r w:rsidR="007B00F3">
        <w:rPr>
          <w:rFonts w:ascii="Seaford" w:hAnsi="Seaford"/>
        </w:rPr>
        <w:t xml:space="preserve"> convenience store if there is no evidence of association between the exposure and the outcome</w:t>
      </w:r>
      <w:r w:rsidR="00252043">
        <w:rPr>
          <w:rFonts w:ascii="Seaford" w:hAnsi="Seaford"/>
        </w:rPr>
        <w:t xml:space="preserve">, but they have </w:t>
      </w:r>
      <w:r w:rsidR="00C51286">
        <w:rPr>
          <w:rFonts w:ascii="Seaford" w:hAnsi="Seaford"/>
        </w:rPr>
        <w:t xml:space="preserve">even </w:t>
      </w:r>
      <w:r w:rsidR="00252043">
        <w:rPr>
          <w:rFonts w:ascii="Seaford" w:hAnsi="Seaford"/>
        </w:rPr>
        <w:t xml:space="preserve">promised to start smoking cigarettes themselves to help make up for all of </w:t>
      </w:r>
      <w:proofErr w:type="spellStart"/>
      <w:r w:rsidR="00252043">
        <w:rPr>
          <w:rFonts w:ascii="Seaford" w:hAnsi="Seaford"/>
        </w:rPr>
        <w:t>Richarde’s</w:t>
      </w:r>
      <w:proofErr w:type="spellEnd"/>
      <w:r w:rsidR="00252043">
        <w:rPr>
          <w:rFonts w:ascii="Seaford" w:hAnsi="Seaford"/>
        </w:rPr>
        <w:t xml:space="preserve"> lost income from their </w:t>
      </w:r>
      <w:r w:rsidR="00C51286">
        <w:rPr>
          <w:rFonts w:ascii="Seaford" w:hAnsi="Seaford"/>
        </w:rPr>
        <w:t xml:space="preserve">activist activities.  </w:t>
      </w:r>
      <w:r w:rsidR="008C6BA4">
        <w:rPr>
          <w:rFonts w:ascii="Seaford" w:hAnsi="Seaford"/>
        </w:rPr>
        <w:t xml:space="preserve">Your supervisor takes you aside and whispers. “You can’t get this wrong, your entire academic and professional career is </w:t>
      </w:r>
      <w:r w:rsidR="005D2408">
        <w:rPr>
          <w:rFonts w:ascii="Seaford" w:hAnsi="Seaford"/>
        </w:rPr>
        <w:t>riding on your correctly specifying the relationship between this convenience store and teen smoking in Testalot!”</w:t>
      </w:r>
      <w:r w:rsidR="00692C93">
        <w:rPr>
          <w:rFonts w:ascii="Seaford" w:hAnsi="Seaford"/>
        </w:rPr>
        <w:t xml:space="preserve">  </w:t>
      </w:r>
      <w:proofErr w:type="spellStart"/>
      <w:r w:rsidR="00692C93">
        <w:rPr>
          <w:rFonts w:ascii="Seaford" w:hAnsi="Seaford"/>
        </w:rPr>
        <w:t>Richarde</w:t>
      </w:r>
      <w:proofErr w:type="spellEnd"/>
      <w:r w:rsidR="00692C93">
        <w:rPr>
          <w:rFonts w:ascii="Seaford" w:hAnsi="Seaford"/>
        </w:rPr>
        <w:t xml:space="preserve"> confides in you that he is worried about losing his store if the results are not in his ‘favour’.  The concerned parents of Testalot</w:t>
      </w:r>
      <w:r w:rsidR="00137F01">
        <w:rPr>
          <w:rFonts w:ascii="Seaford" w:hAnsi="Seaford"/>
        </w:rPr>
        <w:t xml:space="preserve"> have also </w:t>
      </w:r>
      <w:r w:rsidR="00F73B0A">
        <w:rPr>
          <w:rFonts w:ascii="Seaford" w:hAnsi="Seaford"/>
        </w:rPr>
        <w:t xml:space="preserve">told you that they </w:t>
      </w:r>
      <w:r w:rsidR="00E70211">
        <w:rPr>
          <w:rFonts w:ascii="Seaford" w:hAnsi="Seaford"/>
        </w:rPr>
        <w:t>plan to hire an</w:t>
      </w:r>
      <w:r w:rsidR="00137F01">
        <w:rPr>
          <w:rFonts w:ascii="Seaford" w:hAnsi="Seaford"/>
        </w:rPr>
        <w:t xml:space="preserve"> expert outside researcher to review your </w:t>
      </w:r>
      <w:r w:rsidR="00F73B0A">
        <w:rPr>
          <w:rFonts w:ascii="Seaford" w:hAnsi="Seaford"/>
        </w:rPr>
        <w:t>work in the event that you might make an ‘error’ in your analysis and interpretation</w:t>
      </w:r>
      <w:r w:rsidR="008C388B">
        <w:rPr>
          <w:rFonts w:ascii="Seaford" w:hAnsi="Seaford"/>
        </w:rPr>
        <w:t xml:space="preserve"> if the results are not in their ‘favour’</w:t>
      </w:r>
      <w:r w:rsidR="00F73B0A">
        <w:rPr>
          <w:rFonts w:ascii="Seaford" w:hAnsi="Seaford"/>
        </w:rPr>
        <w:t>.</w:t>
      </w:r>
      <w:r w:rsidR="00CB599A">
        <w:rPr>
          <w:rFonts w:ascii="Seaford" w:hAnsi="Seaford"/>
        </w:rPr>
        <w:t xml:space="preserve">  The stakes are high!  </w:t>
      </w:r>
    </w:p>
    <w:p w14:paraId="658E3857" w14:textId="77777777" w:rsidR="00AE233D" w:rsidRPr="0010690A" w:rsidRDefault="00AE233D">
      <w:pPr>
        <w:rPr>
          <w:rFonts w:ascii="Seaford" w:hAnsi="Seaford"/>
        </w:rPr>
      </w:pPr>
    </w:p>
    <w:p w14:paraId="3AF568C3" w14:textId="045B4290" w:rsidR="0010690A" w:rsidRDefault="00D23A9A">
      <w:pPr>
        <w:rPr>
          <w:rFonts w:ascii="Seaford" w:hAnsi="Seaford"/>
        </w:rPr>
      </w:pPr>
      <w:r>
        <w:rPr>
          <w:rFonts w:ascii="Seaford" w:hAnsi="Seaford"/>
        </w:rPr>
        <w:t xml:space="preserve">You have finally collected all your data.   The dataset is now available for your </w:t>
      </w:r>
      <w:r w:rsidR="00EB0135">
        <w:rPr>
          <w:rFonts w:ascii="Seaford" w:hAnsi="Seaford"/>
        </w:rPr>
        <w:t xml:space="preserve">analysis.  The concerned parents of Testalot and </w:t>
      </w:r>
      <w:proofErr w:type="spellStart"/>
      <w:r w:rsidR="00EB0135">
        <w:rPr>
          <w:rFonts w:ascii="Seaford" w:hAnsi="Seaford"/>
        </w:rPr>
        <w:t>Richarde</w:t>
      </w:r>
      <w:proofErr w:type="spellEnd"/>
      <w:r w:rsidR="00EB0135">
        <w:rPr>
          <w:rFonts w:ascii="Seaford" w:hAnsi="Seaford"/>
        </w:rPr>
        <w:t xml:space="preserve"> are aware that you will be </w:t>
      </w:r>
      <w:r w:rsidR="0036712A">
        <w:rPr>
          <w:rFonts w:ascii="Seaford" w:hAnsi="Seaford"/>
        </w:rPr>
        <w:t>providing them with the final results and interpretation on March 31, 2022.</w:t>
      </w:r>
      <w:r w:rsidR="00F60245">
        <w:rPr>
          <w:rFonts w:ascii="Seaford" w:hAnsi="Seaford"/>
        </w:rPr>
        <w:t xml:space="preserve">  They have told you that this deadline will not be extended and any attempt to do so might cause a riot in Testalot</w:t>
      </w:r>
      <w:r w:rsidR="00E00871">
        <w:rPr>
          <w:rFonts w:ascii="Seaford" w:hAnsi="Seaford"/>
        </w:rPr>
        <w:t>!</w:t>
      </w:r>
      <w:r w:rsidR="0036712A">
        <w:rPr>
          <w:rFonts w:ascii="Seaford" w:hAnsi="Seaford"/>
        </w:rPr>
        <w:t xml:space="preserve"> </w:t>
      </w:r>
    </w:p>
    <w:p w14:paraId="31547873" w14:textId="77777777" w:rsidR="0036712A" w:rsidRDefault="0036712A">
      <w:pPr>
        <w:rPr>
          <w:rFonts w:ascii="Seaford" w:hAnsi="Seaford"/>
        </w:rPr>
      </w:pPr>
    </w:p>
    <w:p w14:paraId="08C49E7C" w14:textId="48A6B5EF" w:rsidR="0036712A" w:rsidRPr="0010690A" w:rsidRDefault="00EF5F42">
      <w:pPr>
        <w:rPr>
          <w:rFonts w:ascii="Seaford" w:hAnsi="Seaford"/>
        </w:rPr>
      </w:pPr>
      <w:r>
        <w:rPr>
          <w:rFonts w:ascii="Seaford" w:hAnsi="Seaford"/>
        </w:rPr>
        <w:lastRenderedPageBreak/>
        <w:t xml:space="preserve">What do you conclude from your analysis, and what will you </w:t>
      </w:r>
      <w:r w:rsidR="00B937D8">
        <w:rPr>
          <w:rFonts w:ascii="Seaford" w:hAnsi="Seaford"/>
        </w:rPr>
        <w:t xml:space="preserve">tell </w:t>
      </w:r>
      <w:proofErr w:type="spellStart"/>
      <w:r w:rsidR="00B937D8">
        <w:rPr>
          <w:rFonts w:ascii="Seaford" w:hAnsi="Seaford"/>
        </w:rPr>
        <w:t>Richarde</w:t>
      </w:r>
      <w:proofErr w:type="spellEnd"/>
      <w:r w:rsidR="00B937D8">
        <w:rPr>
          <w:rFonts w:ascii="Seaford" w:hAnsi="Seaford"/>
        </w:rPr>
        <w:t xml:space="preserve"> and the concerned parents of Testalot? (Show </w:t>
      </w:r>
      <w:r w:rsidR="00922B90">
        <w:rPr>
          <w:rFonts w:ascii="Seaford" w:hAnsi="Seaford"/>
        </w:rPr>
        <w:t>all your work and STATA code that has led you to this conclusion</w:t>
      </w:r>
      <w:r w:rsidR="00256C14">
        <w:rPr>
          <w:rFonts w:ascii="Seaford" w:hAnsi="Seaford"/>
        </w:rPr>
        <w:t xml:space="preserve"> because the outside expert hired by the concerned parents of Testalot will try to reproduce </w:t>
      </w:r>
      <w:r w:rsidR="00C41743">
        <w:rPr>
          <w:rFonts w:ascii="Seaford" w:hAnsi="Seaford"/>
        </w:rPr>
        <w:t xml:space="preserve">all </w:t>
      </w:r>
      <w:r w:rsidR="00256C14">
        <w:rPr>
          <w:rFonts w:ascii="Seaford" w:hAnsi="Seaford"/>
        </w:rPr>
        <w:t xml:space="preserve">your </w:t>
      </w:r>
      <w:r w:rsidR="00C41743">
        <w:rPr>
          <w:rFonts w:ascii="Seaford" w:hAnsi="Seaford"/>
        </w:rPr>
        <w:t xml:space="preserve">analyses and </w:t>
      </w:r>
      <w:r w:rsidR="00256C14">
        <w:rPr>
          <w:rFonts w:ascii="Seaford" w:hAnsi="Seaford"/>
        </w:rPr>
        <w:t>results</w:t>
      </w:r>
      <w:r w:rsidR="00864E41">
        <w:rPr>
          <w:rFonts w:ascii="Seaford" w:hAnsi="Seaford"/>
        </w:rPr>
        <w:t xml:space="preserve"> using this STATA code</w:t>
      </w:r>
      <w:r w:rsidR="00411A3C">
        <w:rPr>
          <w:rFonts w:ascii="Seaford" w:hAnsi="Seaford"/>
        </w:rPr>
        <w:t xml:space="preserve">.  If this hired gun can’t reproduce your analyses and results, this will be reported back to the concerned parents of Testalot who </w:t>
      </w:r>
      <w:r w:rsidR="00864E41">
        <w:rPr>
          <w:rFonts w:ascii="Seaford" w:hAnsi="Seaford"/>
        </w:rPr>
        <w:t>have threatened to</w:t>
      </w:r>
      <w:r w:rsidR="007754EE">
        <w:rPr>
          <w:rFonts w:ascii="Seaford" w:hAnsi="Seaford"/>
        </w:rPr>
        <w:t xml:space="preserve"> call </w:t>
      </w:r>
      <w:r w:rsidR="00FF0E88">
        <w:rPr>
          <w:rFonts w:ascii="Seaford" w:hAnsi="Seaford"/>
        </w:rPr>
        <w:t>your conclusions “fake news”!</w:t>
      </w:r>
      <w:r w:rsidR="00922B90">
        <w:rPr>
          <w:rFonts w:ascii="Seaford" w:hAnsi="Seaford"/>
        </w:rPr>
        <w:t>)</w:t>
      </w:r>
    </w:p>
    <w:p w14:paraId="73C0C4A6" w14:textId="77777777" w:rsidR="0010690A" w:rsidRDefault="0010690A"/>
    <w:p w14:paraId="4544FCE8" w14:textId="77777777" w:rsidR="00B81E09" w:rsidRDefault="00B81E09"/>
    <w:sectPr w:rsidR="00B81E09" w:rsidSect="0010690A">
      <w:headerReference w:type="default" r:id="rId10"/>
      <w:headerReference w:type="first" r:id="rId11"/>
      <w:pgSz w:w="12240" w:h="15840"/>
      <w:pgMar w:top="1440" w:right="1440" w:bottom="1440" w:left="1440" w:header="19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7DDC5" w14:textId="77777777" w:rsidR="00282EBA" w:rsidRDefault="00282EBA" w:rsidP="0017461E">
      <w:r>
        <w:separator/>
      </w:r>
    </w:p>
  </w:endnote>
  <w:endnote w:type="continuationSeparator" w:id="0">
    <w:p w14:paraId="2099BD1B" w14:textId="77777777" w:rsidR="00282EBA" w:rsidRDefault="00282EBA" w:rsidP="00174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aford">
    <w:panose1 w:val="00000500000000000000"/>
    <w:charset w:val="00"/>
    <w:family w:val="auto"/>
    <w:pitch w:val="variable"/>
    <w:sig w:usb0="80000003" w:usb1="00000001"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luna Lght">
    <w:altName w:val="Calibri"/>
    <w:panose1 w:val="020B0604020202020204"/>
    <w:charset w:val="4D"/>
    <w:family w:val="auto"/>
    <w:notTrueType/>
    <w:pitch w:val="variable"/>
    <w:sig w:usb0="00000007" w:usb1="00000001"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3FDCD" w14:textId="77777777" w:rsidR="00282EBA" w:rsidRDefault="00282EBA" w:rsidP="0017461E">
      <w:r>
        <w:separator/>
      </w:r>
    </w:p>
  </w:footnote>
  <w:footnote w:type="continuationSeparator" w:id="0">
    <w:p w14:paraId="35B6EECA" w14:textId="77777777" w:rsidR="00282EBA" w:rsidRDefault="00282EBA" w:rsidP="001746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2E0AC" w14:textId="77777777" w:rsidR="0017461E" w:rsidRPr="0017461E" w:rsidRDefault="0017461E" w:rsidP="0017461E">
    <w:pPr>
      <w:pStyle w:val="Header"/>
    </w:pPr>
    <w:r>
      <w:rPr>
        <w:noProof/>
      </w:rPr>
      <w:drawing>
        <wp:anchor distT="0" distB="0" distL="114300" distR="114300" simplePos="0" relativeHeight="251658240" behindDoc="1" locked="0" layoutInCell="1" allowOverlap="1" wp14:anchorId="6DB5A6CA" wp14:editId="6CCC9588">
          <wp:simplePos x="0" y="0"/>
          <wp:positionH relativeFrom="column">
            <wp:align>center</wp:align>
          </wp:positionH>
          <wp:positionV relativeFrom="page">
            <wp:align>top</wp:align>
          </wp:positionV>
          <wp:extent cx="7819200" cy="10118964"/>
          <wp:effectExtent l="0" t="0" r="4445"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819200" cy="10118964"/>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97A27" w14:textId="77777777" w:rsidR="00B763AC" w:rsidRDefault="0023060D">
    <w:pPr>
      <w:pStyle w:val="Header"/>
    </w:pPr>
    <w:r>
      <w:rPr>
        <w:noProof/>
      </w:rPr>
      <mc:AlternateContent>
        <mc:Choice Requires="wps">
          <w:drawing>
            <wp:anchor distT="0" distB="0" distL="114300" distR="114300" simplePos="0" relativeHeight="251661312" behindDoc="0" locked="0" layoutInCell="1" allowOverlap="1" wp14:anchorId="7F916FDF" wp14:editId="6ADF3E38">
              <wp:simplePos x="0" y="0"/>
              <wp:positionH relativeFrom="column">
                <wp:posOffset>2762885</wp:posOffset>
              </wp:positionH>
              <wp:positionV relativeFrom="page">
                <wp:posOffset>230978</wp:posOffset>
              </wp:positionV>
              <wp:extent cx="3561153" cy="648497"/>
              <wp:effectExtent l="0" t="0" r="0" b="0"/>
              <wp:wrapNone/>
              <wp:docPr id="2" name="Text Box 2"/>
              <wp:cNvGraphicFramePr/>
              <a:graphic xmlns:a="http://schemas.openxmlformats.org/drawingml/2006/main">
                <a:graphicData uri="http://schemas.microsoft.com/office/word/2010/wordprocessingShape">
                  <wps:wsp>
                    <wps:cNvSpPr txBox="1"/>
                    <wps:spPr>
                      <a:xfrm>
                        <a:off x="0" y="0"/>
                        <a:ext cx="3561153" cy="648497"/>
                      </a:xfrm>
                      <a:prstGeom prst="rect">
                        <a:avLst/>
                      </a:prstGeom>
                      <a:noFill/>
                      <a:ln w="6350">
                        <a:noFill/>
                      </a:ln>
                    </wps:spPr>
                    <wps:txbx>
                      <w:txbxContent>
                        <w:p w14:paraId="0BAD1BE8" w14:textId="1BB1AFB1" w:rsidR="0023060D" w:rsidRPr="0017461E" w:rsidRDefault="00AE233D" w:rsidP="0023060D">
                          <w:pPr>
                            <w:spacing w:line="276" w:lineRule="auto"/>
                            <w:jc w:val="right"/>
                            <w:rPr>
                              <w:rFonts w:ascii="Calluna Lght" w:hAnsi="Calluna Lght"/>
                              <w:sz w:val="26"/>
                              <w:szCs w:val="26"/>
                            </w:rPr>
                          </w:pPr>
                          <w:r>
                            <w:rPr>
                              <w:rFonts w:ascii="Calluna Lght" w:hAnsi="Calluna Lght"/>
                              <w:sz w:val="26"/>
                              <w:szCs w:val="26"/>
                            </w:rPr>
                            <w:t>HS324-BR Quiz 4</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916FDF" id="_x0000_t202" coordsize="21600,21600" o:spt="202" path="m,l,21600r21600,l21600,xe">
              <v:stroke joinstyle="miter"/>
              <v:path gradientshapeok="t" o:connecttype="rect"/>
            </v:shapetype>
            <v:shape id="Text Box 2" o:spid="_x0000_s1026" type="#_x0000_t202" style="position:absolute;margin-left:217.55pt;margin-top:18.2pt;width:280.4pt;height:5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" filled="f" stroked="f" strokeweight=".5pt">
              <v:textbox>
                <w:txbxContent>
                  <w:p w14:paraId="0BAD1BE8" w14:textId="1BB1AFB1" w:rsidR="0023060D" w:rsidRPr="0017461E" w:rsidRDefault="00AE233D" w:rsidP="0023060D">
                    <w:pPr>
                      <w:spacing w:line="276" w:lineRule="auto"/>
                      <w:jc w:val="right"/>
                      <w:rPr>
                        <w:rFonts w:ascii="Calluna Lght" w:hAnsi="Calluna Lght"/>
                        <w:sz w:val="26"/>
                        <w:szCs w:val="26"/>
                      </w:rPr>
                    </w:pPr>
                    <w:r>
                      <w:rPr>
                        <w:rFonts w:ascii="Calluna Lght" w:hAnsi="Calluna Lght"/>
                        <w:sz w:val="26"/>
                        <w:szCs w:val="26"/>
                      </w:rPr>
                      <w:t>HS324-BR Quiz 4</w:t>
                    </w:r>
                  </w:p>
                </w:txbxContent>
              </v:textbox>
              <w10:wrap anchory="page"/>
            </v:shape>
          </w:pict>
        </mc:Fallback>
      </mc:AlternateContent>
    </w:r>
    <w:r w:rsidR="00B763AC">
      <w:rPr>
        <w:noProof/>
      </w:rPr>
      <w:drawing>
        <wp:anchor distT="0" distB="0" distL="114300" distR="114300" simplePos="0" relativeHeight="251659264" behindDoc="1" locked="0" layoutInCell="1" allowOverlap="1" wp14:anchorId="3A24BCA4" wp14:editId="2E659FB8">
          <wp:simplePos x="0" y="0"/>
          <wp:positionH relativeFrom="column">
            <wp:align>center</wp:align>
          </wp:positionH>
          <wp:positionV relativeFrom="page">
            <wp:align>top</wp:align>
          </wp:positionV>
          <wp:extent cx="7819200" cy="10119600"/>
          <wp:effectExtent l="0" t="0" r="4445" b="2540"/>
          <wp:wrapNone/>
          <wp:docPr id="3" name="Picture 3"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819200" cy="101196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33D"/>
    <w:rsid w:val="00037AC3"/>
    <w:rsid w:val="00051659"/>
    <w:rsid w:val="000D705F"/>
    <w:rsid w:val="000F50F0"/>
    <w:rsid w:val="0010690A"/>
    <w:rsid w:val="00124463"/>
    <w:rsid w:val="00137F01"/>
    <w:rsid w:val="001545AD"/>
    <w:rsid w:val="0017461E"/>
    <w:rsid w:val="001D6032"/>
    <w:rsid w:val="0023060D"/>
    <w:rsid w:val="002513F1"/>
    <w:rsid w:val="00252043"/>
    <w:rsid w:val="00256C14"/>
    <w:rsid w:val="002706C1"/>
    <w:rsid w:val="00282EBA"/>
    <w:rsid w:val="002839AC"/>
    <w:rsid w:val="002A7063"/>
    <w:rsid w:val="002B0769"/>
    <w:rsid w:val="0036712A"/>
    <w:rsid w:val="0038508F"/>
    <w:rsid w:val="003A5F1E"/>
    <w:rsid w:val="0040231E"/>
    <w:rsid w:val="00402FB0"/>
    <w:rsid w:val="00404C30"/>
    <w:rsid w:val="00411A3C"/>
    <w:rsid w:val="00450848"/>
    <w:rsid w:val="00455950"/>
    <w:rsid w:val="004B2BC9"/>
    <w:rsid w:val="005212C4"/>
    <w:rsid w:val="00581252"/>
    <w:rsid w:val="00597D42"/>
    <w:rsid w:val="005B228B"/>
    <w:rsid w:val="005D2408"/>
    <w:rsid w:val="005E0DE1"/>
    <w:rsid w:val="00692C93"/>
    <w:rsid w:val="006C6932"/>
    <w:rsid w:val="00750D92"/>
    <w:rsid w:val="007754EE"/>
    <w:rsid w:val="007A1DC1"/>
    <w:rsid w:val="007A66ED"/>
    <w:rsid w:val="007B00F3"/>
    <w:rsid w:val="007F092B"/>
    <w:rsid w:val="00804997"/>
    <w:rsid w:val="00864E41"/>
    <w:rsid w:val="00890A03"/>
    <w:rsid w:val="008C388B"/>
    <w:rsid w:val="008C6BA4"/>
    <w:rsid w:val="008E6464"/>
    <w:rsid w:val="008F1EE3"/>
    <w:rsid w:val="009218C4"/>
    <w:rsid w:val="00922B90"/>
    <w:rsid w:val="0092328E"/>
    <w:rsid w:val="009708AD"/>
    <w:rsid w:val="009D64C3"/>
    <w:rsid w:val="00A746CF"/>
    <w:rsid w:val="00AC2FB1"/>
    <w:rsid w:val="00AE233D"/>
    <w:rsid w:val="00AF6D11"/>
    <w:rsid w:val="00B20A54"/>
    <w:rsid w:val="00B763AC"/>
    <w:rsid w:val="00B81E09"/>
    <w:rsid w:val="00B937D8"/>
    <w:rsid w:val="00C41743"/>
    <w:rsid w:val="00C51286"/>
    <w:rsid w:val="00C9609B"/>
    <w:rsid w:val="00CB10C4"/>
    <w:rsid w:val="00CB599A"/>
    <w:rsid w:val="00D23A9A"/>
    <w:rsid w:val="00D7285D"/>
    <w:rsid w:val="00D979F2"/>
    <w:rsid w:val="00DE47EE"/>
    <w:rsid w:val="00DF3B8B"/>
    <w:rsid w:val="00E00871"/>
    <w:rsid w:val="00E010EE"/>
    <w:rsid w:val="00E66740"/>
    <w:rsid w:val="00E70211"/>
    <w:rsid w:val="00EB0135"/>
    <w:rsid w:val="00EE7140"/>
    <w:rsid w:val="00EF29CD"/>
    <w:rsid w:val="00EF5F42"/>
    <w:rsid w:val="00F53790"/>
    <w:rsid w:val="00F563BE"/>
    <w:rsid w:val="00F56B91"/>
    <w:rsid w:val="00F60245"/>
    <w:rsid w:val="00F7140D"/>
    <w:rsid w:val="00F73B0A"/>
    <w:rsid w:val="00F83863"/>
    <w:rsid w:val="00FA69BE"/>
    <w:rsid w:val="00FF0E8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698C28"/>
  <w15:chartTrackingRefBased/>
  <w15:docId w15:val="{E5BC285B-37DA-4F42-B56E-918FD8C39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GridTable5Dark1">
    <w:name w:val="Grid Table 5 Dark1"/>
    <w:aliases w:val="Laurier"/>
    <w:basedOn w:val="TableNormal"/>
    <w:uiPriority w:val="50"/>
    <w:rsid w:val="00F53790"/>
    <w:pPr>
      <w:contextualSpacing/>
    </w:pPr>
    <w:rPr>
      <w:rFonts w:ascii="Seaford" w:eastAsiaTheme="minorEastAsia" w:hAnsi="Seaford"/>
      <w:sz w:val="22"/>
    </w:rPr>
    <w:tblPr>
      <w:tblStyleRowBandSize w:val="1"/>
      <w:tblStyleColBandSize w:val="1"/>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Pr>
    <w:trPr>
      <w:cantSplit/>
    </w:trPr>
    <w:tcPr>
      <w:shd w:val="clear" w:color="auto" w:fill="4472C4" w:themeFill="accent1"/>
      <w:tcMar>
        <w:top w:w="85" w:type="dxa"/>
        <w:left w:w="85" w:type="dxa"/>
        <w:bottom w:w="85" w:type="dxa"/>
        <w:right w:w="85" w:type="dxa"/>
      </w:tcMar>
      <w:vAlign w:val="center"/>
    </w:tcPr>
    <w:tblStylePr w:type="firstRow">
      <w:pPr>
        <w:wordWrap/>
        <w:spacing w:afterLines="0" w:line="240" w:lineRule="auto"/>
        <w:contextualSpacing/>
      </w:pPr>
      <w:rPr>
        <w:rFonts w:ascii="Arial" w:hAnsi="Arial"/>
        <w:b/>
        <w:bCs/>
        <w:color w:val="FFFFFF" w:themeColor="background1"/>
        <w:sz w:val="22"/>
      </w:rPr>
      <w:tblPr/>
      <w:trPr>
        <w:cantSplit w:val="0"/>
        <w:tblHeader/>
      </w:trPr>
      <w:tcPr>
        <w:tcBorders>
          <w:top w:val="single" w:sz="6" w:space="0" w:color="FFFFFF" w:themeColor="background1"/>
          <w:left w:val="single" w:sz="6" w:space="0" w:color="FFFFFF" w:themeColor="background1"/>
          <w:bottom w:val="single" w:sz="18" w:space="0" w:color="FFFFFF" w:themeColor="background1"/>
          <w:right w:val="single" w:sz="6" w:space="0" w:color="FFFFFF" w:themeColor="background1"/>
          <w:insideH w:val="nil"/>
          <w:insideV w:val="single" w:sz="6" w:space="0" w:color="FFFFFF" w:themeColor="background1"/>
          <w:tl2br w:val="nil"/>
          <w:tr2bl w:val="nil"/>
        </w:tcBorders>
        <w:shd w:val="clear" w:color="auto" w:fill="004C9B"/>
      </w:tcPr>
    </w:tblStylePr>
    <w:tblStylePr w:type="lastRow">
      <w:rPr>
        <w:b/>
        <w:bCs/>
        <w:color w:val="FFFFFF" w:themeColor="background1"/>
      </w:rPr>
      <w:tblPr/>
      <w:tcPr>
        <w:shd w:val="clear" w:color="auto" w:fill="0077DC"/>
      </w:tcPr>
    </w:tblStylePr>
    <w:tblStylePr w:type="firstCol">
      <w:rPr>
        <w:rFonts w:ascii="Arial" w:hAnsi="Arial"/>
        <w:b/>
        <w:bCs/>
        <w:color w:val="FFFFFF" w:themeColor="background1"/>
      </w:rPr>
      <w:tblPr/>
      <w:tcPr>
        <w:shd w:val="clear" w:color="auto" w:fill="0077DC"/>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rPr>
        <w:rFonts w:ascii="Arial" w:hAnsi="Arial"/>
        <w:color w:val="auto"/>
        <w:sz w:val="22"/>
      </w:rPr>
      <w:tblPr/>
      <w:tcPr>
        <w:shd w:val="clear" w:color="auto" w:fill="D9D9D9"/>
      </w:tcPr>
    </w:tblStylePr>
    <w:tblStylePr w:type="band2Horz">
      <w:rPr>
        <w:rFonts w:ascii="Arial" w:hAnsi="Arial"/>
        <w:sz w:val="22"/>
      </w:rPr>
      <w:tblPr/>
      <w:tcPr>
        <w:shd w:val="clear" w:color="auto" w:fill="FFFFFF" w:themeFill="background1"/>
      </w:tcPr>
    </w:tblStylePr>
  </w:style>
  <w:style w:type="paragraph" w:styleId="TOC1">
    <w:name w:val="toc 1"/>
    <w:next w:val="Normal"/>
    <w:autoRedefine/>
    <w:uiPriority w:val="39"/>
    <w:unhideWhenUsed/>
    <w:rsid w:val="00F53790"/>
    <w:pPr>
      <w:tabs>
        <w:tab w:val="right" w:leader="dot" w:pos="9350"/>
      </w:tabs>
      <w:spacing w:line="360" w:lineRule="auto"/>
    </w:pPr>
    <w:rPr>
      <w:rFonts w:ascii="Seaford" w:eastAsiaTheme="majorEastAsia" w:hAnsi="Seaford" w:cstheme="majorBidi"/>
      <w:b/>
      <w:color w:val="000000" w:themeColor="text1"/>
      <w:szCs w:val="26"/>
    </w:rPr>
  </w:style>
  <w:style w:type="paragraph" w:styleId="Header">
    <w:name w:val="header"/>
    <w:basedOn w:val="Normal"/>
    <w:link w:val="HeaderChar"/>
    <w:uiPriority w:val="99"/>
    <w:unhideWhenUsed/>
    <w:rsid w:val="0017461E"/>
    <w:pPr>
      <w:tabs>
        <w:tab w:val="center" w:pos="4680"/>
        <w:tab w:val="right" w:pos="9360"/>
      </w:tabs>
    </w:pPr>
  </w:style>
  <w:style w:type="character" w:customStyle="1" w:styleId="HeaderChar">
    <w:name w:val="Header Char"/>
    <w:basedOn w:val="DefaultParagraphFont"/>
    <w:link w:val="Header"/>
    <w:uiPriority w:val="99"/>
    <w:rsid w:val="0017461E"/>
  </w:style>
  <w:style w:type="paragraph" w:styleId="Footer">
    <w:name w:val="footer"/>
    <w:basedOn w:val="Normal"/>
    <w:link w:val="FooterChar"/>
    <w:uiPriority w:val="99"/>
    <w:unhideWhenUsed/>
    <w:rsid w:val="0017461E"/>
    <w:pPr>
      <w:tabs>
        <w:tab w:val="center" w:pos="4680"/>
        <w:tab w:val="right" w:pos="9360"/>
      </w:tabs>
    </w:pPr>
  </w:style>
  <w:style w:type="character" w:customStyle="1" w:styleId="FooterChar">
    <w:name w:val="Footer Char"/>
    <w:basedOn w:val="DefaultParagraphFont"/>
    <w:link w:val="Footer"/>
    <w:uiPriority w:val="99"/>
    <w:rsid w:val="0017461E"/>
  </w:style>
  <w:style w:type="table" w:styleId="TableGrid">
    <w:name w:val="Table Grid"/>
    <w:basedOn w:val="TableNormal"/>
    <w:uiPriority w:val="39"/>
    <w:rsid w:val="00F838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iuliodidiodato/Desktop/OneDrive/WLU%20Teaching/WLU%20Templates/WLU%20Letterhead%20-%20BRANTF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8F8BF15A80D241A60284A581389CA5" ma:contentTypeVersion="5" ma:contentTypeDescription="Create a new document." ma:contentTypeScope="" ma:versionID="376f974b52228e4296fe399c65c875ea">
  <xsd:schema xmlns:xsd="http://www.w3.org/2001/XMLSchema" xmlns:xs="http://www.w3.org/2001/XMLSchema" xmlns:p="http://schemas.microsoft.com/office/2006/metadata/properties" xmlns:ns1="http://schemas.microsoft.com/sharepoint/v3" xmlns:ns2="4b65494f-1423-4e78-b835-9233e33688a9" xmlns:ns3="d54a78da-fdeb-485a-8e7f-5cc4eb628d31" targetNamespace="http://schemas.microsoft.com/office/2006/metadata/properties" ma:root="true" ma:fieldsID="f1f10f2ae3e6be564c86c8e3922ec575" ns1:_="" ns2:_="" ns3:_="">
    <xsd:import namespace="http://schemas.microsoft.com/sharepoint/v3"/>
    <xsd:import namespace="4b65494f-1423-4e78-b835-9233e33688a9"/>
    <xsd:import namespace="d54a78da-fdeb-485a-8e7f-5cc4eb628d31"/>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b65494f-1423-4e78-b835-9233e33688a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54a78da-fdeb-485a-8e7f-5cc4eb628d3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987554F-2781-4043-9C3C-8A2B3184CE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b65494f-1423-4e78-b835-9233e33688a9"/>
    <ds:schemaRef ds:uri="d54a78da-fdeb-485a-8e7f-5cc4eb628d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3B84F3-6A6F-43D8-A5EB-0FB823468710}">
  <ds:schemaRefs>
    <ds:schemaRef ds:uri="http://schemas.microsoft.com/sharepoint/v3/contenttype/forms"/>
  </ds:schemaRefs>
</ds:datastoreItem>
</file>

<file path=customXml/itemProps3.xml><?xml version="1.0" encoding="utf-8"?>
<ds:datastoreItem xmlns:ds="http://schemas.openxmlformats.org/officeDocument/2006/customXml" ds:itemID="{FC7E6150-9364-4F4E-938D-FDB6B70003E9}">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WLU Letterhead - BRANTFORD.dotx</Template>
  <TotalTime>50</TotalTime>
  <Pages>3</Pages>
  <Words>633</Words>
  <Characters>3834</Characters>
  <Application>Microsoft Office Word</Application>
  <DocSecurity>0</DocSecurity>
  <Lines>60</Lines>
  <Paragraphs>23</Paragraphs>
  <ScaleCrop>false</ScaleCrop>
  <Company/>
  <LinksUpToDate>false</LinksUpToDate>
  <CharactersWithSpaces>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Giulio DiDiodato</cp:lastModifiedBy>
  <cp:revision>73</cp:revision>
  <dcterms:created xsi:type="dcterms:W3CDTF">2022-03-09T20:01:00Z</dcterms:created>
  <dcterms:modified xsi:type="dcterms:W3CDTF">2022-03-11T20:37:00Z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0x010100798F8BF15A80D241A60284A581389CA5</vt:lpwstr>
  </property>
</Properties>
</file>