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357E8" w14:textId="77777777" w:rsidR="00D03FFB" w:rsidRPr="00EF1463" w:rsidRDefault="00D03FFB">
      <w:pPr>
        <w:rPr>
          <w:b/>
        </w:rPr>
      </w:pPr>
    </w:p>
    <w:p w14:paraId="05187B43" w14:textId="7B271D65" w:rsidR="00835D66" w:rsidRPr="008518E5" w:rsidRDefault="007D20E8">
      <w:pPr>
        <w:rPr>
          <w:b/>
        </w:rPr>
      </w:pPr>
      <w:r>
        <w:t xml:space="preserve">For the first </w:t>
      </w:r>
      <w:r w:rsidR="002D266C">
        <w:t>three</w:t>
      </w:r>
      <w:r>
        <w:t xml:space="preserve"> questions please open the data set on the </w:t>
      </w:r>
      <w:r w:rsidR="00F80ED6">
        <w:t xml:space="preserve">D2L </w:t>
      </w:r>
      <w:r>
        <w:t xml:space="preserve">course website </w:t>
      </w:r>
      <w:r w:rsidR="00835D66">
        <w:t>(included in the Data Set section</w:t>
      </w:r>
      <w:r w:rsidR="00EF1463">
        <w:t xml:space="preserve"> of the course website</w:t>
      </w:r>
      <w:r w:rsidR="00835D66">
        <w:t xml:space="preserve">) </w:t>
      </w:r>
      <w:r>
        <w:t xml:space="preserve">named: </w:t>
      </w:r>
      <w:r w:rsidR="008518E5">
        <w:rPr>
          <w:b/>
        </w:rPr>
        <w:t>Assignment</w:t>
      </w:r>
      <w:r w:rsidRPr="00D3557D">
        <w:rPr>
          <w:b/>
        </w:rPr>
        <w:t>1_</w:t>
      </w:r>
      <w:r w:rsidR="00817D71" w:rsidRPr="00D3557D">
        <w:rPr>
          <w:b/>
        </w:rPr>
        <w:t>20</w:t>
      </w:r>
      <w:r w:rsidR="00AB3450" w:rsidRPr="00D3557D">
        <w:rPr>
          <w:b/>
        </w:rPr>
        <w:t>2</w:t>
      </w:r>
      <w:r w:rsidR="00AF6BCB">
        <w:rPr>
          <w:b/>
        </w:rPr>
        <w:t>2</w:t>
      </w:r>
      <w:r w:rsidR="00F255F3" w:rsidRPr="00D3557D">
        <w:rPr>
          <w:b/>
        </w:rPr>
        <w:t>.sav</w:t>
      </w:r>
      <w:r w:rsidR="00F255F3">
        <w:t xml:space="preserve">. </w:t>
      </w:r>
    </w:p>
    <w:p w14:paraId="2C5BCA64" w14:textId="77777777" w:rsidR="00835D66" w:rsidRDefault="00835D66"/>
    <w:p w14:paraId="661D8ED6" w14:textId="12C58CD3" w:rsidR="006572CA" w:rsidRDefault="00F255F3">
      <w:r>
        <w:t>This data set contains 2</w:t>
      </w:r>
      <w:r w:rsidR="007D20E8">
        <w:t xml:space="preserve"> different measures of job satisfaction</w:t>
      </w:r>
      <w:r w:rsidR="00F80ED6">
        <w:t>. Satisfaction</w:t>
      </w:r>
      <w:r w:rsidR="007D20E8">
        <w:t xml:space="preserve"> with (a) the job itself, </w:t>
      </w:r>
      <w:r>
        <w:t xml:space="preserve">and (b) base pay, both </w:t>
      </w:r>
      <w:r w:rsidR="007D20E8">
        <w:t>measured on a 7</w:t>
      </w:r>
      <w:r w:rsidR="00903860">
        <w:t>-</w:t>
      </w:r>
      <w:r w:rsidR="007D20E8">
        <w:t>point scale from 1=not at all satisfied to 7=extremely satisfied.  Three groups of employees were assessed (a) unionized workers, (b) lower and middle level managers, and (c) company executives</w:t>
      </w:r>
      <w:r w:rsidR="00850813">
        <w:t xml:space="preserve">.  </w:t>
      </w:r>
      <w:r w:rsidR="00AE0ED5">
        <w:t>Employees were coded based upon sex and country.</w:t>
      </w:r>
    </w:p>
    <w:p w14:paraId="18130F46" w14:textId="77777777" w:rsidR="006572CA" w:rsidRDefault="006572CA"/>
    <w:p w14:paraId="32D546DE" w14:textId="77777777" w:rsidR="007D20E8" w:rsidRDefault="007D20E8"/>
    <w:p w14:paraId="295138BB" w14:textId="0F5095D2" w:rsidR="00B905B7" w:rsidRDefault="007D20E8" w:rsidP="00B905B7">
      <w:pPr>
        <w:pStyle w:val="ListParagraph"/>
        <w:numPr>
          <w:ilvl w:val="0"/>
          <w:numId w:val="1"/>
        </w:numPr>
      </w:pPr>
      <w:r>
        <w:t>Please statisticall</w:t>
      </w:r>
      <w:r w:rsidR="00A1155D">
        <w:t xml:space="preserve">y compare the mean level of </w:t>
      </w:r>
      <w:r>
        <w:t>satisfactio</w:t>
      </w:r>
      <w:r w:rsidR="00AE0ED5">
        <w:t xml:space="preserve">n </w:t>
      </w:r>
      <w:r w:rsidR="00A1155D">
        <w:t xml:space="preserve">with </w:t>
      </w:r>
      <w:r w:rsidR="00835D66">
        <w:t>base</w:t>
      </w:r>
      <w:r w:rsidR="00A1155D">
        <w:t xml:space="preserve"> </w:t>
      </w:r>
      <w:r w:rsidR="00B905B7">
        <w:t>pay</w:t>
      </w:r>
      <w:r w:rsidR="00A1155D">
        <w:t xml:space="preserve"> </w:t>
      </w:r>
      <w:r w:rsidR="00AE0ED5">
        <w:t>between males and females.</w:t>
      </w:r>
      <w:r>
        <w:t xml:space="preserve"> Note </w:t>
      </w:r>
      <w:r w:rsidR="00817D71">
        <w:t>it was hypothesized</w:t>
      </w:r>
      <w:r w:rsidR="00AE0ED5">
        <w:t xml:space="preserve"> </w:t>
      </w:r>
      <w:r w:rsidR="00817D71">
        <w:t>th</w:t>
      </w:r>
      <w:r w:rsidR="00A1155D">
        <w:t xml:space="preserve">at males would </w:t>
      </w:r>
      <w:r w:rsidR="00B905B7">
        <w:t>score higher</w:t>
      </w:r>
      <w:r w:rsidR="00A1155D">
        <w:t xml:space="preserve"> </w:t>
      </w:r>
      <w:r w:rsidR="00817D71">
        <w:t>because o</w:t>
      </w:r>
      <w:r w:rsidR="00A1155D">
        <w:t xml:space="preserve">f perceptions of systematic </w:t>
      </w:r>
      <w:r w:rsidR="00B905B7">
        <w:t xml:space="preserve">pay </w:t>
      </w:r>
      <w:r w:rsidR="00817D71">
        <w:t>discrimination against women.</w:t>
      </w:r>
      <w:r w:rsidR="00AE0ED5">
        <w:t xml:space="preserve"> </w:t>
      </w:r>
      <w:r w:rsidR="00A1155D">
        <w:t xml:space="preserve">  </w:t>
      </w:r>
      <w:r w:rsidR="00B905B7">
        <w:t>This is what you should provide</w:t>
      </w:r>
      <w:r w:rsidR="00195082">
        <w:t xml:space="preserve"> in order (</w:t>
      </w:r>
      <w:r w:rsidR="00195082" w:rsidRPr="002D266C">
        <w:rPr>
          <w:b/>
          <w:bCs/>
        </w:rPr>
        <w:t xml:space="preserve">please use labels 1a, </w:t>
      </w:r>
      <w:r w:rsidR="002D266C">
        <w:rPr>
          <w:b/>
          <w:bCs/>
        </w:rPr>
        <w:t>1b</w:t>
      </w:r>
      <w:r w:rsidR="00195082" w:rsidRPr="002D266C">
        <w:rPr>
          <w:b/>
          <w:bCs/>
        </w:rPr>
        <w:t xml:space="preserve">, </w:t>
      </w:r>
      <w:r w:rsidR="002D266C">
        <w:rPr>
          <w:b/>
          <w:bCs/>
        </w:rPr>
        <w:t>1c</w:t>
      </w:r>
      <w:r w:rsidR="00195082" w:rsidRPr="002D266C">
        <w:rPr>
          <w:b/>
          <w:bCs/>
        </w:rPr>
        <w:t xml:space="preserve">a </w:t>
      </w:r>
      <w:r w:rsidR="002D266C">
        <w:rPr>
          <w:b/>
          <w:bCs/>
        </w:rPr>
        <w:t>1d</w:t>
      </w:r>
      <w:r w:rsidR="00195082" w:rsidRPr="002D266C">
        <w:rPr>
          <w:b/>
          <w:bCs/>
        </w:rPr>
        <w:t xml:space="preserve"> to organize your response</w:t>
      </w:r>
      <w:r w:rsidR="00195082">
        <w:t>)</w:t>
      </w:r>
      <w:r w:rsidR="00B905B7">
        <w:t>:</w:t>
      </w:r>
    </w:p>
    <w:p w14:paraId="721E7906" w14:textId="77777777" w:rsidR="00195082" w:rsidRDefault="00195082" w:rsidP="00B905B7">
      <w:pPr>
        <w:ind w:left="360"/>
      </w:pPr>
    </w:p>
    <w:p w14:paraId="166DD984" w14:textId="0F5C90AA" w:rsidR="00195082" w:rsidRDefault="002D266C" w:rsidP="002D266C">
      <w:r>
        <w:t>1a</w:t>
      </w:r>
      <w:r w:rsidR="00CD4421">
        <w:t>.</w:t>
      </w:r>
      <w:r>
        <w:t xml:space="preserve"> </w:t>
      </w:r>
      <w:r w:rsidR="00195082">
        <w:t xml:space="preserve">Report the t value, degrees of freedom, p-value, and whether or not you would declare statistical significance.  </w:t>
      </w:r>
      <w:r w:rsidR="00195082" w:rsidRPr="002D266C">
        <w:rPr>
          <w:b/>
        </w:rPr>
        <w:t>Use the format:  t(df) = x, p</w:t>
      </w:r>
      <w:r w:rsidRPr="002D266C">
        <w:rPr>
          <w:b/>
        </w:rPr>
        <w:t>&lt;</w:t>
      </w:r>
      <w:r w:rsidR="00195082" w:rsidRPr="002D266C">
        <w:rPr>
          <w:b/>
        </w:rPr>
        <w:t xml:space="preserve"> XX.</w:t>
      </w:r>
      <w:r w:rsidR="00195082">
        <w:t xml:space="preserve">  (3 points)</w:t>
      </w:r>
    </w:p>
    <w:p w14:paraId="0F3E6184" w14:textId="77777777" w:rsidR="00195082" w:rsidRDefault="00195082" w:rsidP="00195082">
      <w:pPr>
        <w:ind w:left="360"/>
      </w:pPr>
    </w:p>
    <w:p w14:paraId="2DEB3850" w14:textId="6D267E81" w:rsidR="00195082" w:rsidRDefault="002D266C" w:rsidP="002D266C">
      <w:r>
        <w:t>1b</w:t>
      </w:r>
      <w:r w:rsidR="00CD4421">
        <w:t>.</w:t>
      </w:r>
      <w:r>
        <w:t xml:space="preserve"> </w:t>
      </w:r>
      <w:r w:rsidR="00195082">
        <w:t xml:space="preserve">Report the 95% confidence interval (report the values) for this analysis and explain what </w:t>
      </w:r>
      <w:r w:rsidR="00835D66">
        <w:t xml:space="preserve">the interval </w:t>
      </w:r>
      <w:r w:rsidR="00195082">
        <w:t>means (3 points)</w:t>
      </w:r>
    </w:p>
    <w:p w14:paraId="20900AA3" w14:textId="77777777" w:rsidR="00195082" w:rsidRDefault="00195082" w:rsidP="00B905B7">
      <w:pPr>
        <w:ind w:left="360"/>
      </w:pPr>
    </w:p>
    <w:p w14:paraId="466CDDD7" w14:textId="78D01644" w:rsidR="00195082" w:rsidRDefault="002D266C" w:rsidP="002D266C">
      <w:r>
        <w:t>1c</w:t>
      </w:r>
      <w:r w:rsidR="00CD4421">
        <w:t>.</w:t>
      </w:r>
      <w:r>
        <w:t xml:space="preserve"> </w:t>
      </w:r>
      <w:r w:rsidR="00A1155D">
        <w:t xml:space="preserve">Report </w:t>
      </w:r>
      <w:r>
        <w:t xml:space="preserve">Cohen’s d and </w:t>
      </w:r>
      <w:r w:rsidR="00B905B7">
        <w:t xml:space="preserve">Eta </w:t>
      </w:r>
      <w:r w:rsidR="00835D66">
        <w:t>S</w:t>
      </w:r>
      <w:r w:rsidR="00B905B7">
        <w:t xml:space="preserve">quared for this t-test whether the test is statistically significant or not.  </w:t>
      </w:r>
      <w:r w:rsidR="00195082">
        <w:t>(2 points)</w:t>
      </w:r>
    </w:p>
    <w:p w14:paraId="395F8016" w14:textId="77777777" w:rsidR="00195082" w:rsidRDefault="00195082" w:rsidP="00B905B7">
      <w:pPr>
        <w:ind w:left="360"/>
      </w:pPr>
    </w:p>
    <w:p w14:paraId="59BF74C0" w14:textId="61F33533" w:rsidR="00195082" w:rsidRDefault="002D266C" w:rsidP="002D266C">
      <w:r>
        <w:t>1d</w:t>
      </w:r>
      <w:r w:rsidR="00CD4421">
        <w:t>.</w:t>
      </w:r>
      <w:r>
        <w:t xml:space="preserve"> </w:t>
      </w:r>
      <w:r w:rsidR="00835D66">
        <w:t xml:space="preserve">What conclusion might you draw from the results of </w:t>
      </w:r>
      <w:r w:rsidR="00195082">
        <w:t>the Levene’s test?  (2 points).</w:t>
      </w:r>
    </w:p>
    <w:p w14:paraId="59835166" w14:textId="77777777" w:rsidR="00AE0ED5" w:rsidRDefault="00AE0ED5"/>
    <w:p w14:paraId="54AA5A19" w14:textId="6EA37706" w:rsidR="00442DA4" w:rsidRDefault="007D20E8" w:rsidP="00442DA4">
      <w:pPr>
        <w:pStyle w:val="ListParagraph"/>
        <w:numPr>
          <w:ilvl w:val="0"/>
          <w:numId w:val="1"/>
        </w:numPr>
      </w:pPr>
      <w:r>
        <w:t xml:space="preserve">2. Perform a </w:t>
      </w:r>
      <w:r w:rsidR="00CC4F69">
        <w:t xml:space="preserve">2 (Country) X 2 (sex) </w:t>
      </w:r>
      <w:r>
        <w:t>ANOVA</w:t>
      </w:r>
      <w:r w:rsidR="00006690">
        <w:t xml:space="preserve"> with satisfaction with the job as the criterion variable.  </w:t>
      </w:r>
      <w:r>
        <w:t xml:space="preserve"> </w:t>
      </w:r>
      <w:r w:rsidR="00442DA4" w:rsidRPr="00442DA4">
        <w:rPr>
          <w:b/>
        </w:rPr>
        <w:t>Assume there is no violation of the homogeneity of variance assumption.</w:t>
      </w:r>
      <w:r w:rsidR="00442DA4">
        <w:t xml:space="preserve"> This is what you should provide in order (</w:t>
      </w:r>
      <w:r w:rsidR="00442DA4" w:rsidRPr="002D266C">
        <w:rPr>
          <w:b/>
          <w:bCs/>
        </w:rPr>
        <w:t>please use labels 2a, 2b</w:t>
      </w:r>
      <w:r w:rsidR="002D266C">
        <w:rPr>
          <w:b/>
          <w:bCs/>
        </w:rPr>
        <w:t xml:space="preserve"> </w:t>
      </w:r>
      <w:r w:rsidR="00442DA4" w:rsidRPr="002D266C">
        <w:rPr>
          <w:b/>
          <w:bCs/>
        </w:rPr>
        <w:t xml:space="preserve"> to organize your overall response</w:t>
      </w:r>
      <w:r w:rsidR="00442DA4">
        <w:t>):</w:t>
      </w:r>
    </w:p>
    <w:p w14:paraId="3DEDA44B" w14:textId="4504AE8B" w:rsidR="00442DA4" w:rsidRDefault="00442DA4" w:rsidP="00442DA4"/>
    <w:p w14:paraId="63D7F72C" w14:textId="2B0A2CAF" w:rsidR="00442DA4" w:rsidRPr="002D266C" w:rsidRDefault="002D266C" w:rsidP="002D266C">
      <w:pPr>
        <w:rPr>
          <w:b/>
        </w:rPr>
      </w:pPr>
      <w:r>
        <w:t xml:space="preserve">2a. </w:t>
      </w:r>
      <w:r w:rsidR="00442DA4">
        <w:t xml:space="preserve">Report the F-test for the interaction and the Eta Squared </w:t>
      </w:r>
      <w:r>
        <w:t xml:space="preserve">(not partial eta squared) </w:t>
      </w:r>
      <w:r w:rsidR="00442DA4">
        <w:t xml:space="preserve">estimate of effect size.  </w:t>
      </w:r>
      <w:r w:rsidR="00442DA4" w:rsidRPr="002D266C">
        <w:rPr>
          <w:b/>
        </w:rPr>
        <w:t>Use the Format F(df1, df2) = x, p=xx, Eta Squared =</w:t>
      </w:r>
      <w:r w:rsidR="00442DA4">
        <w:t xml:space="preserve"> </w:t>
      </w:r>
      <w:r w:rsidR="00442DA4" w:rsidRPr="002D266C">
        <w:rPr>
          <w:b/>
        </w:rPr>
        <w:t xml:space="preserve">xxx. </w:t>
      </w:r>
      <w:r w:rsidR="00442DA4">
        <w:t>(2 points).</w:t>
      </w:r>
    </w:p>
    <w:p w14:paraId="3FA9AAF3" w14:textId="77777777" w:rsidR="00442DA4" w:rsidRPr="00442DA4" w:rsidRDefault="00442DA4" w:rsidP="00442DA4">
      <w:pPr>
        <w:rPr>
          <w:b/>
        </w:rPr>
      </w:pPr>
    </w:p>
    <w:p w14:paraId="0EC5BF94" w14:textId="5E990B6A" w:rsidR="00442DA4" w:rsidRDefault="002D266C" w:rsidP="002D266C">
      <w:r>
        <w:t xml:space="preserve">2b. </w:t>
      </w:r>
      <w:r w:rsidR="00442DA4" w:rsidRPr="00442DA4">
        <w:t xml:space="preserve">Treating </w:t>
      </w:r>
      <w:r w:rsidR="00923C02">
        <w:t>“</w:t>
      </w:r>
      <w:r w:rsidR="00442DA4">
        <w:t>Country</w:t>
      </w:r>
      <w:r w:rsidR="00923C02">
        <w:t>”</w:t>
      </w:r>
      <w:r w:rsidR="00442DA4">
        <w:t xml:space="preserve"> as the moderator, perform simple effect tests comparing males and females.  Note there is an expectation that males would be more satisfied compared to females.</w:t>
      </w:r>
      <w:r w:rsidR="006765E7">
        <w:t xml:space="preserve"> What alpha level (Type I error) did you use for each simple test? Report the t values </w:t>
      </w:r>
      <w:r w:rsidR="006765E7" w:rsidRPr="002D266C">
        <w:rPr>
          <w:b/>
        </w:rPr>
        <w:t>using the format:  t(df) = x, p= XX.</w:t>
      </w:r>
      <w:r w:rsidR="006765E7">
        <w:t xml:space="preserve">  For any statistically significant t-test result report Eta Squared as you</w:t>
      </w:r>
      <w:r w:rsidR="00835D66">
        <w:t>r</w:t>
      </w:r>
      <w:r w:rsidR="006765E7">
        <w:t xml:space="preserve"> effect size estimate (8 points).</w:t>
      </w:r>
    </w:p>
    <w:p w14:paraId="3057BF65" w14:textId="31565006" w:rsidR="00D04ADE" w:rsidRDefault="00D04ADE" w:rsidP="002D266C"/>
    <w:p w14:paraId="5748B0D9" w14:textId="3547F833" w:rsidR="00D04ADE" w:rsidRDefault="00CD4421" w:rsidP="00CD4421">
      <w:pPr>
        <w:pStyle w:val="ListParagraph"/>
        <w:numPr>
          <w:ilvl w:val="0"/>
          <w:numId w:val="1"/>
        </w:numPr>
        <w:ind w:left="426"/>
      </w:pPr>
      <w:r>
        <w:lastRenderedPageBreak/>
        <w:t>Create 3 age groups 22-35, 36-49, 50 and above.  Run 2</w:t>
      </w:r>
      <w:r w:rsidR="00AF6BCB">
        <w:t xml:space="preserve"> </w:t>
      </w:r>
      <w:r>
        <w:t xml:space="preserve">orthogonal planned comparisons with the 3 age groups as a predictor of satisfaction with pay.  Report the pertinent output by copying it into your exam. </w:t>
      </w:r>
      <w:r w:rsidR="00AF6BCB">
        <w:t xml:space="preserve">There is no need to explain the output.  </w:t>
      </w:r>
      <w:r>
        <w:t>How do the results of these planned comparisons relate to the overall 1-way ANOVA comparing the 3 age groups on the pay satisfaction variable?</w:t>
      </w:r>
    </w:p>
    <w:p w14:paraId="3EDB6A2A" w14:textId="77777777" w:rsidR="006765E7" w:rsidRDefault="006765E7" w:rsidP="006765E7">
      <w:pPr>
        <w:pStyle w:val="ListParagraph"/>
      </w:pPr>
    </w:p>
    <w:p w14:paraId="5EF0E19A" w14:textId="19BBD7BF" w:rsidR="00D250FA" w:rsidRDefault="00D250FA" w:rsidP="007D7C31"/>
    <w:p w14:paraId="2D6392D4" w14:textId="10D3C7D9" w:rsidR="000178BC" w:rsidRDefault="00CD4421" w:rsidP="000178BC">
      <w:r>
        <w:t>4</w:t>
      </w:r>
      <w:r w:rsidR="000178BC">
        <w:t>.  What is meant by an error/degrees of freedom trade-off when we consider running a 2-way ANOVA instead of a 1-way ANOVA with a given set of data?  Does the trade-off necessarily work out in our favour</w:t>
      </w:r>
      <w:r w:rsidR="00844DAC">
        <w:t xml:space="preserve"> such that the same main effect becomes statistically significant only in the 2-way analysis</w:t>
      </w:r>
      <w:r w:rsidR="000178BC">
        <w:t>? Why or why not?</w:t>
      </w:r>
    </w:p>
    <w:p w14:paraId="6004A269" w14:textId="77777777" w:rsidR="000178BC" w:rsidRDefault="000178BC" w:rsidP="000178BC"/>
    <w:p w14:paraId="60E43D39" w14:textId="77777777" w:rsidR="000178BC" w:rsidRDefault="000178BC" w:rsidP="000178BC"/>
    <w:p w14:paraId="2E848CF9" w14:textId="18B9F409" w:rsidR="00844DAC" w:rsidRPr="00D250FA" w:rsidRDefault="00844DAC" w:rsidP="00844DAC">
      <w:pPr>
        <w:widowControl w:val="0"/>
        <w:autoSpaceDE w:val="0"/>
        <w:autoSpaceDN w:val="0"/>
        <w:adjustRightInd w:val="0"/>
        <w:rPr>
          <w:rFonts w:ascii="Times New Roman" w:hAnsi="Times New Roman" w:cs="Times New Roman"/>
          <w:lang w:val="en-US"/>
        </w:rPr>
      </w:pPr>
      <w:r>
        <w:t xml:space="preserve">5. Assume researchers conducted a repeated-measures ANOVA on an expanded version of the data set for questions 1-2.  They compared the ratings across three types of job satisfaction (the two types of satisfaction from the data set for questions 1-2) as well as a measure of satisfaction with </w:t>
      </w:r>
      <w:r w:rsidR="00B13CB3">
        <w:t xml:space="preserve">employee </w:t>
      </w:r>
      <w:r>
        <w:t>benefits (not included in the data set) . Here is a selection of their output:</w:t>
      </w:r>
    </w:p>
    <w:tbl>
      <w:tblPr>
        <w:tblW w:w="119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271"/>
        <w:gridCol w:w="1417"/>
        <w:gridCol w:w="1547"/>
        <w:gridCol w:w="1080"/>
        <w:gridCol w:w="1080"/>
        <w:gridCol w:w="4545"/>
      </w:tblGrid>
      <w:tr w:rsidR="00844DAC" w:rsidRPr="00D250FA" w14:paraId="635A4922" w14:textId="77777777" w:rsidTr="001B4143">
        <w:trPr>
          <w:cantSplit/>
        </w:trPr>
        <w:tc>
          <w:tcPr>
            <w:tcW w:w="11940" w:type="dxa"/>
            <w:gridSpan w:val="6"/>
            <w:tcBorders>
              <w:top w:val="nil"/>
              <w:left w:val="nil"/>
              <w:bottom w:val="nil"/>
              <w:right w:val="nil"/>
            </w:tcBorders>
            <w:shd w:val="clear" w:color="auto" w:fill="FFFFFF"/>
            <w:vAlign w:val="center"/>
          </w:tcPr>
          <w:p w14:paraId="2E20F98F" w14:textId="77777777" w:rsidR="00844DAC" w:rsidRDefault="00844DAC" w:rsidP="001B4143">
            <w:pPr>
              <w:widowControl w:val="0"/>
              <w:autoSpaceDE w:val="0"/>
              <w:autoSpaceDN w:val="0"/>
              <w:adjustRightInd w:val="0"/>
              <w:spacing w:line="320" w:lineRule="atLeast"/>
              <w:ind w:left="60" w:right="60"/>
              <w:jc w:val="center"/>
              <w:rPr>
                <w:rFonts w:ascii="Arial" w:hAnsi="Arial" w:cs="Arial"/>
                <w:b/>
                <w:bCs/>
                <w:color w:val="010205"/>
                <w:sz w:val="16"/>
                <w:szCs w:val="16"/>
                <w:lang w:val="en-US"/>
              </w:rPr>
            </w:pPr>
          </w:p>
          <w:p w14:paraId="4212B944" w14:textId="77777777" w:rsidR="00844DAC" w:rsidRPr="00D250FA" w:rsidRDefault="00844DAC" w:rsidP="001B4143">
            <w:pPr>
              <w:widowControl w:val="0"/>
              <w:autoSpaceDE w:val="0"/>
              <w:autoSpaceDN w:val="0"/>
              <w:adjustRightInd w:val="0"/>
              <w:spacing w:line="320" w:lineRule="atLeast"/>
              <w:ind w:left="60" w:right="60"/>
              <w:jc w:val="center"/>
              <w:rPr>
                <w:rFonts w:ascii="Arial" w:hAnsi="Arial" w:cs="Arial"/>
                <w:color w:val="010205"/>
                <w:sz w:val="16"/>
                <w:szCs w:val="16"/>
                <w:lang w:val="en-US"/>
              </w:rPr>
            </w:pPr>
            <w:r w:rsidRPr="00D250FA">
              <w:rPr>
                <w:rFonts w:ascii="Arial" w:hAnsi="Arial" w:cs="Arial"/>
                <w:b/>
                <w:bCs/>
                <w:color w:val="010205"/>
                <w:sz w:val="16"/>
                <w:szCs w:val="16"/>
                <w:lang w:val="en-US"/>
              </w:rPr>
              <w:t>Mauchly's Test of Sphericity</w:t>
            </w:r>
            <w:r w:rsidRPr="00D250FA">
              <w:rPr>
                <w:rFonts w:ascii="Arial" w:hAnsi="Arial" w:cs="Arial"/>
                <w:b/>
                <w:bCs/>
                <w:color w:val="010205"/>
                <w:sz w:val="16"/>
                <w:szCs w:val="16"/>
                <w:vertAlign w:val="superscript"/>
                <w:lang w:val="en-US"/>
              </w:rPr>
              <w:t>a</w:t>
            </w:r>
          </w:p>
        </w:tc>
      </w:tr>
      <w:tr w:rsidR="00844DAC" w:rsidRPr="00D250FA" w14:paraId="3B840204" w14:textId="77777777" w:rsidTr="001B4143">
        <w:trPr>
          <w:cantSplit/>
        </w:trPr>
        <w:tc>
          <w:tcPr>
            <w:tcW w:w="11940" w:type="dxa"/>
            <w:gridSpan w:val="6"/>
            <w:tcBorders>
              <w:top w:val="nil"/>
              <w:left w:val="nil"/>
              <w:bottom w:val="nil"/>
              <w:right w:val="nil"/>
            </w:tcBorders>
            <w:shd w:val="clear" w:color="auto" w:fill="FFFFFF"/>
            <w:vAlign w:val="bottom"/>
          </w:tcPr>
          <w:p w14:paraId="19B4789E" w14:textId="77777777" w:rsidR="00844DAC" w:rsidRPr="00D250FA" w:rsidRDefault="00844DAC" w:rsidP="001B4143">
            <w:pPr>
              <w:widowControl w:val="0"/>
              <w:autoSpaceDE w:val="0"/>
              <w:autoSpaceDN w:val="0"/>
              <w:adjustRightInd w:val="0"/>
              <w:spacing w:line="320" w:lineRule="atLeast"/>
              <w:rPr>
                <w:rFonts w:ascii="Times New Roman" w:hAnsi="Times New Roman" w:cs="Times New Roman"/>
                <w:sz w:val="16"/>
                <w:szCs w:val="16"/>
                <w:lang w:val="en-US"/>
              </w:rPr>
            </w:pPr>
          </w:p>
        </w:tc>
      </w:tr>
      <w:tr w:rsidR="00844DAC" w:rsidRPr="00D250FA" w14:paraId="2A2FE8F7" w14:textId="77777777" w:rsidTr="001B4143">
        <w:trPr>
          <w:gridAfter w:val="1"/>
          <w:wAfter w:w="4545" w:type="dxa"/>
          <w:cantSplit/>
          <w:trHeight w:val="320"/>
        </w:trPr>
        <w:tc>
          <w:tcPr>
            <w:tcW w:w="2271" w:type="dxa"/>
            <w:vMerge w:val="restart"/>
            <w:tcBorders>
              <w:top w:val="nil"/>
              <w:left w:val="nil"/>
              <w:bottom w:val="nil"/>
              <w:right w:val="nil"/>
            </w:tcBorders>
            <w:shd w:val="clear" w:color="auto" w:fill="FFFFFF"/>
            <w:vAlign w:val="bottom"/>
          </w:tcPr>
          <w:p w14:paraId="524E2B45" w14:textId="77777777" w:rsidR="00844DAC" w:rsidRPr="00D250FA" w:rsidRDefault="00844DAC" w:rsidP="001B4143">
            <w:pPr>
              <w:widowControl w:val="0"/>
              <w:autoSpaceDE w:val="0"/>
              <w:autoSpaceDN w:val="0"/>
              <w:adjustRightInd w:val="0"/>
              <w:spacing w:line="320" w:lineRule="atLeast"/>
              <w:ind w:left="60" w:right="60"/>
              <w:rPr>
                <w:rFonts w:ascii="Arial" w:hAnsi="Arial" w:cs="Arial"/>
                <w:color w:val="264A60"/>
                <w:sz w:val="16"/>
                <w:szCs w:val="16"/>
                <w:lang w:val="en-US"/>
              </w:rPr>
            </w:pPr>
            <w:r w:rsidRPr="00D250FA">
              <w:rPr>
                <w:rFonts w:ascii="Arial" w:hAnsi="Arial" w:cs="Arial"/>
                <w:color w:val="264A60"/>
                <w:sz w:val="16"/>
                <w:szCs w:val="16"/>
                <w:lang w:val="en-US"/>
              </w:rPr>
              <w:t>Within Subjects Effect</w:t>
            </w:r>
          </w:p>
        </w:tc>
        <w:tc>
          <w:tcPr>
            <w:tcW w:w="1417" w:type="dxa"/>
            <w:vMerge w:val="restart"/>
            <w:tcBorders>
              <w:top w:val="nil"/>
              <w:left w:val="nil"/>
              <w:bottom w:val="nil"/>
              <w:right w:val="single" w:sz="8" w:space="0" w:color="E0E0E0"/>
            </w:tcBorders>
            <w:shd w:val="clear" w:color="auto" w:fill="FFFFFF"/>
            <w:vAlign w:val="bottom"/>
          </w:tcPr>
          <w:p w14:paraId="1BDECB6A" w14:textId="77777777" w:rsidR="00844DAC" w:rsidRPr="00D250FA" w:rsidRDefault="00844DAC" w:rsidP="001B4143">
            <w:pPr>
              <w:widowControl w:val="0"/>
              <w:autoSpaceDE w:val="0"/>
              <w:autoSpaceDN w:val="0"/>
              <w:adjustRightInd w:val="0"/>
              <w:spacing w:line="320" w:lineRule="atLeast"/>
              <w:ind w:left="60" w:right="60"/>
              <w:jc w:val="center"/>
              <w:rPr>
                <w:rFonts w:ascii="Arial" w:hAnsi="Arial" w:cs="Arial"/>
                <w:color w:val="264A60"/>
                <w:sz w:val="16"/>
                <w:szCs w:val="16"/>
                <w:lang w:val="en-US"/>
              </w:rPr>
            </w:pPr>
            <w:r w:rsidRPr="00D250FA">
              <w:rPr>
                <w:rFonts w:ascii="Arial" w:hAnsi="Arial" w:cs="Arial"/>
                <w:color w:val="264A60"/>
                <w:sz w:val="16"/>
                <w:szCs w:val="16"/>
                <w:lang w:val="en-US"/>
              </w:rPr>
              <w:t>Mauchly's W</w:t>
            </w:r>
          </w:p>
        </w:tc>
        <w:tc>
          <w:tcPr>
            <w:tcW w:w="1547" w:type="dxa"/>
            <w:vMerge w:val="restart"/>
            <w:tcBorders>
              <w:top w:val="nil"/>
              <w:left w:val="single" w:sz="8" w:space="0" w:color="E0E0E0"/>
              <w:bottom w:val="nil"/>
              <w:right w:val="single" w:sz="8" w:space="0" w:color="E0E0E0"/>
            </w:tcBorders>
            <w:shd w:val="clear" w:color="auto" w:fill="FFFFFF"/>
            <w:vAlign w:val="bottom"/>
          </w:tcPr>
          <w:p w14:paraId="4D2E50B6" w14:textId="77777777" w:rsidR="00844DAC" w:rsidRPr="00D250FA" w:rsidRDefault="00844DAC" w:rsidP="001B4143">
            <w:pPr>
              <w:widowControl w:val="0"/>
              <w:autoSpaceDE w:val="0"/>
              <w:autoSpaceDN w:val="0"/>
              <w:adjustRightInd w:val="0"/>
              <w:spacing w:line="320" w:lineRule="atLeast"/>
              <w:ind w:left="60" w:right="60"/>
              <w:jc w:val="center"/>
              <w:rPr>
                <w:rFonts w:ascii="Arial" w:hAnsi="Arial" w:cs="Arial"/>
                <w:color w:val="264A60"/>
                <w:sz w:val="16"/>
                <w:szCs w:val="16"/>
                <w:lang w:val="en-US"/>
              </w:rPr>
            </w:pPr>
            <w:r w:rsidRPr="00D250FA">
              <w:rPr>
                <w:rFonts w:ascii="Arial" w:hAnsi="Arial" w:cs="Arial"/>
                <w:color w:val="264A60"/>
                <w:sz w:val="16"/>
                <w:szCs w:val="16"/>
                <w:lang w:val="en-US"/>
              </w:rPr>
              <w:t>Approx. Chi-Square</w:t>
            </w:r>
          </w:p>
        </w:tc>
        <w:tc>
          <w:tcPr>
            <w:tcW w:w="1080" w:type="dxa"/>
            <w:vMerge w:val="restart"/>
            <w:tcBorders>
              <w:top w:val="nil"/>
              <w:left w:val="single" w:sz="8" w:space="0" w:color="E0E0E0"/>
              <w:bottom w:val="nil"/>
              <w:right w:val="single" w:sz="8" w:space="0" w:color="E0E0E0"/>
            </w:tcBorders>
            <w:shd w:val="clear" w:color="auto" w:fill="FFFFFF"/>
            <w:vAlign w:val="bottom"/>
          </w:tcPr>
          <w:p w14:paraId="04DB4098" w14:textId="77777777" w:rsidR="00844DAC" w:rsidRPr="00D250FA" w:rsidRDefault="00844DAC" w:rsidP="001B4143">
            <w:pPr>
              <w:widowControl w:val="0"/>
              <w:autoSpaceDE w:val="0"/>
              <w:autoSpaceDN w:val="0"/>
              <w:adjustRightInd w:val="0"/>
              <w:spacing w:line="320" w:lineRule="atLeast"/>
              <w:ind w:left="60" w:right="60"/>
              <w:jc w:val="center"/>
              <w:rPr>
                <w:rFonts w:ascii="Arial" w:hAnsi="Arial" w:cs="Arial"/>
                <w:color w:val="264A60"/>
                <w:sz w:val="16"/>
                <w:szCs w:val="16"/>
                <w:lang w:val="en-US"/>
              </w:rPr>
            </w:pPr>
            <w:r w:rsidRPr="00D250FA">
              <w:rPr>
                <w:rFonts w:ascii="Arial" w:hAnsi="Arial" w:cs="Arial"/>
                <w:color w:val="264A60"/>
                <w:sz w:val="16"/>
                <w:szCs w:val="16"/>
                <w:lang w:val="en-US"/>
              </w:rPr>
              <w:t>df</w:t>
            </w:r>
          </w:p>
        </w:tc>
        <w:tc>
          <w:tcPr>
            <w:tcW w:w="1080" w:type="dxa"/>
            <w:vMerge w:val="restart"/>
            <w:tcBorders>
              <w:top w:val="nil"/>
              <w:left w:val="single" w:sz="8" w:space="0" w:color="E0E0E0"/>
              <w:bottom w:val="nil"/>
              <w:right w:val="single" w:sz="8" w:space="0" w:color="E0E0E0"/>
            </w:tcBorders>
            <w:shd w:val="clear" w:color="auto" w:fill="FFFFFF"/>
            <w:vAlign w:val="bottom"/>
          </w:tcPr>
          <w:p w14:paraId="6A49BEF7" w14:textId="77777777" w:rsidR="00844DAC" w:rsidRPr="00D250FA" w:rsidRDefault="00844DAC" w:rsidP="001B4143">
            <w:pPr>
              <w:widowControl w:val="0"/>
              <w:autoSpaceDE w:val="0"/>
              <w:autoSpaceDN w:val="0"/>
              <w:adjustRightInd w:val="0"/>
              <w:spacing w:line="320" w:lineRule="atLeast"/>
              <w:ind w:left="60" w:right="60"/>
              <w:jc w:val="center"/>
              <w:rPr>
                <w:rFonts w:ascii="Arial" w:hAnsi="Arial" w:cs="Arial"/>
                <w:color w:val="264A60"/>
                <w:sz w:val="16"/>
                <w:szCs w:val="16"/>
                <w:lang w:val="en-US"/>
              </w:rPr>
            </w:pPr>
            <w:r w:rsidRPr="00D250FA">
              <w:rPr>
                <w:rFonts w:ascii="Arial" w:hAnsi="Arial" w:cs="Arial"/>
                <w:color w:val="264A60"/>
                <w:sz w:val="16"/>
                <w:szCs w:val="16"/>
                <w:lang w:val="en-US"/>
              </w:rPr>
              <w:t>Sig.</w:t>
            </w:r>
          </w:p>
        </w:tc>
      </w:tr>
      <w:tr w:rsidR="00844DAC" w:rsidRPr="00D250FA" w14:paraId="6416EC9F" w14:textId="77777777" w:rsidTr="001B4143">
        <w:trPr>
          <w:gridAfter w:val="1"/>
          <w:wAfter w:w="4545" w:type="dxa"/>
          <w:cantSplit/>
          <w:trHeight w:val="276"/>
        </w:trPr>
        <w:tc>
          <w:tcPr>
            <w:tcW w:w="2271" w:type="dxa"/>
            <w:vMerge/>
            <w:tcBorders>
              <w:top w:val="nil"/>
              <w:left w:val="nil"/>
              <w:bottom w:val="nil"/>
              <w:right w:val="nil"/>
            </w:tcBorders>
            <w:shd w:val="clear" w:color="auto" w:fill="FFFFFF"/>
            <w:vAlign w:val="bottom"/>
          </w:tcPr>
          <w:p w14:paraId="0B092067" w14:textId="77777777" w:rsidR="00844DAC" w:rsidRPr="00D250FA" w:rsidRDefault="00844DAC" w:rsidP="001B4143">
            <w:pPr>
              <w:widowControl w:val="0"/>
              <w:autoSpaceDE w:val="0"/>
              <w:autoSpaceDN w:val="0"/>
              <w:adjustRightInd w:val="0"/>
              <w:rPr>
                <w:rFonts w:ascii="Arial" w:hAnsi="Arial" w:cs="Arial"/>
                <w:color w:val="264A60"/>
                <w:sz w:val="16"/>
                <w:szCs w:val="16"/>
                <w:lang w:val="en-US"/>
              </w:rPr>
            </w:pPr>
          </w:p>
        </w:tc>
        <w:tc>
          <w:tcPr>
            <w:tcW w:w="1417" w:type="dxa"/>
            <w:vMerge/>
            <w:tcBorders>
              <w:top w:val="nil"/>
              <w:left w:val="nil"/>
              <w:bottom w:val="nil"/>
              <w:right w:val="single" w:sz="8" w:space="0" w:color="E0E0E0"/>
            </w:tcBorders>
            <w:shd w:val="clear" w:color="auto" w:fill="FFFFFF"/>
            <w:vAlign w:val="bottom"/>
          </w:tcPr>
          <w:p w14:paraId="782CCCA2" w14:textId="77777777" w:rsidR="00844DAC" w:rsidRPr="00D250FA" w:rsidRDefault="00844DAC" w:rsidP="001B4143">
            <w:pPr>
              <w:widowControl w:val="0"/>
              <w:autoSpaceDE w:val="0"/>
              <w:autoSpaceDN w:val="0"/>
              <w:adjustRightInd w:val="0"/>
              <w:rPr>
                <w:rFonts w:ascii="Arial" w:hAnsi="Arial" w:cs="Arial"/>
                <w:color w:val="264A60"/>
                <w:sz w:val="16"/>
                <w:szCs w:val="16"/>
                <w:lang w:val="en-US"/>
              </w:rPr>
            </w:pPr>
          </w:p>
        </w:tc>
        <w:tc>
          <w:tcPr>
            <w:tcW w:w="1547" w:type="dxa"/>
            <w:vMerge/>
            <w:tcBorders>
              <w:top w:val="nil"/>
              <w:left w:val="single" w:sz="8" w:space="0" w:color="E0E0E0"/>
              <w:bottom w:val="nil"/>
              <w:right w:val="single" w:sz="8" w:space="0" w:color="E0E0E0"/>
            </w:tcBorders>
            <w:shd w:val="clear" w:color="auto" w:fill="FFFFFF"/>
            <w:vAlign w:val="bottom"/>
          </w:tcPr>
          <w:p w14:paraId="69B34C0C" w14:textId="77777777" w:rsidR="00844DAC" w:rsidRPr="00D250FA" w:rsidRDefault="00844DAC" w:rsidP="001B4143">
            <w:pPr>
              <w:widowControl w:val="0"/>
              <w:autoSpaceDE w:val="0"/>
              <w:autoSpaceDN w:val="0"/>
              <w:adjustRightInd w:val="0"/>
              <w:rPr>
                <w:rFonts w:ascii="Arial" w:hAnsi="Arial" w:cs="Arial"/>
                <w:color w:val="264A60"/>
                <w:sz w:val="16"/>
                <w:szCs w:val="16"/>
                <w:lang w:val="en-US"/>
              </w:rPr>
            </w:pPr>
          </w:p>
        </w:tc>
        <w:tc>
          <w:tcPr>
            <w:tcW w:w="1080" w:type="dxa"/>
            <w:vMerge/>
            <w:tcBorders>
              <w:top w:val="nil"/>
              <w:left w:val="single" w:sz="8" w:space="0" w:color="E0E0E0"/>
              <w:bottom w:val="nil"/>
              <w:right w:val="single" w:sz="8" w:space="0" w:color="E0E0E0"/>
            </w:tcBorders>
            <w:shd w:val="clear" w:color="auto" w:fill="FFFFFF"/>
            <w:vAlign w:val="bottom"/>
          </w:tcPr>
          <w:p w14:paraId="1E796977" w14:textId="77777777" w:rsidR="00844DAC" w:rsidRPr="00D250FA" w:rsidRDefault="00844DAC" w:rsidP="001B4143">
            <w:pPr>
              <w:widowControl w:val="0"/>
              <w:autoSpaceDE w:val="0"/>
              <w:autoSpaceDN w:val="0"/>
              <w:adjustRightInd w:val="0"/>
              <w:rPr>
                <w:rFonts w:ascii="Arial" w:hAnsi="Arial" w:cs="Arial"/>
                <w:color w:val="264A60"/>
                <w:sz w:val="16"/>
                <w:szCs w:val="16"/>
                <w:lang w:val="en-US"/>
              </w:rPr>
            </w:pPr>
          </w:p>
        </w:tc>
        <w:tc>
          <w:tcPr>
            <w:tcW w:w="1080" w:type="dxa"/>
            <w:vMerge/>
            <w:tcBorders>
              <w:top w:val="nil"/>
              <w:left w:val="single" w:sz="8" w:space="0" w:color="E0E0E0"/>
              <w:bottom w:val="nil"/>
              <w:right w:val="single" w:sz="8" w:space="0" w:color="E0E0E0"/>
            </w:tcBorders>
            <w:shd w:val="clear" w:color="auto" w:fill="FFFFFF"/>
            <w:vAlign w:val="bottom"/>
          </w:tcPr>
          <w:p w14:paraId="32CFAC6F" w14:textId="77777777" w:rsidR="00844DAC" w:rsidRPr="00D250FA" w:rsidRDefault="00844DAC" w:rsidP="001B4143">
            <w:pPr>
              <w:widowControl w:val="0"/>
              <w:autoSpaceDE w:val="0"/>
              <w:autoSpaceDN w:val="0"/>
              <w:adjustRightInd w:val="0"/>
              <w:rPr>
                <w:rFonts w:ascii="Arial" w:hAnsi="Arial" w:cs="Arial"/>
                <w:color w:val="264A60"/>
                <w:sz w:val="16"/>
                <w:szCs w:val="16"/>
                <w:lang w:val="en-US"/>
              </w:rPr>
            </w:pPr>
          </w:p>
        </w:tc>
      </w:tr>
      <w:tr w:rsidR="00844DAC" w:rsidRPr="00D250FA" w14:paraId="7709CC8F" w14:textId="77777777" w:rsidTr="001B4143">
        <w:trPr>
          <w:gridAfter w:val="1"/>
          <w:wAfter w:w="4545" w:type="dxa"/>
          <w:cantSplit/>
        </w:trPr>
        <w:tc>
          <w:tcPr>
            <w:tcW w:w="2271" w:type="dxa"/>
            <w:tcBorders>
              <w:top w:val="single" w:sz="8" w:space="0" w:color="152935"/>
              <w:left w:val="nil"/>
              <w:bottom w:val="single" w:sz="8" w:space="0" w:color="152935"/>
              <w:right w:val="nil"/>
            </w:tcBorders>
            <w:shd w:val="clear" w:color="auto" w:fill="E0E0E0"/>
          </w:tcPr>
          <w:p w14:paraId="5E8088D8" w14:textId="77777777" w:rsidR="00844DAC" w:rsidRPr="00D250FA" w:rsidRDefault="00844DAC" w:rsidP="001B4143">
            <w:pPr>
              <w:widowControl w:val="0"/>
              <w:autoSpaceDE w:val="0"/>
              <w:autoSpaceDN w:val="0"/>
              <w:adjustRightInd w:val="0"/>
              <w:spacing w:line="320" w:lineRule="atLeast"/>
              <w:ind w:left="60" w:right="60"/>
              <w:rPr>
                <w:rFonts w:ascii="Arial" w:hAnsi="Arial" w:cs="Arial"/>
                <w:color w:val="264A60"/>
                <w:sz w:val="16"/>
                <w:szCs w:val="16"/>
                <w:lang w:val="en-US"/>
              </w:rPr>
            </w:pPr>
            <w:r w:rsidRPr="00D250FA">
              <w:rPr>
                <w:rFonts w:ascii="Arial" w:hAnsi="Arial" w:cs="Arial"/>
                <w:color w:val="264A60"/>
                <w:sz w:val="16"/>
                <w:szCs w:val="16"/>
                <w:lang w:val="en-US"/>
              </w:rPr>
              <w:t>Jsat</w:t>
            </w:r>
          </w:p>
        </w:tc>
        <w:tc>
          <w:tcPr>
            <w:tcW w:w="1417" w:type="dxa"/>
            <w:tcBorders>
              <w:top w:val="single" w:sz="8" w:space="0" w:color="152935"/>
              <w:left w:val="nil"/>
              <w:bottom w:val="single" w:sz="8" w:space="0" w:color="152935"/>
              <w:right w:val="single" w:sz="8" w:space="0" w:color="E0E0E0"/>
            </w:tcBorders>
            <w:shd w:val="clear" w:color="auto" w:fill="FFFFFF"/>
          </w:tcPr>
          <w:p w14:paraId="040EB4B1" w14:textId="77777777" w:rsidR="00844DAC" w:rsidRPr="00D250FA" w:rsidRDefault="00844DAC" w:rsidP="001B4143">
            <w:pPr>
              <w:widowControl w:val="0"/>
              <w:autoSpaceDE w:val="0"/>
              <w:autoSpaceDN w:val="0"/>
              <w:adjustRightInd w:val="0"/>
              <w:spacing w:line="320" w:lineRule="atLeast"/>
              <w:ind w:left="60" w:right="60"/>
              <w:jc w:val="right"/>
              <w:rPr>
                <w:rFonts w:ascii="Arial" w:hAnsi="Arial" w:cs="Arial"/>
                <w:color w:val="010205"/>
                <w:sz w:val="16"/>
                <w:szCs w:val="16"/>
                <w:lang w:val="en-US"/>
              </w:rPr>
            </w:pPr>
            <w:r w:rsidRPr="00D250FA">
              <w:rPr>
                <w:rFonts w:ascii="Arial" w:hAnsi="Arial" w:cs="Arial"/>
                <w:color w:val="010205"/>
                <w:sz w:val="16"/>
                <w:szCs w:val="16"/>
                <w:lang w:val="en-US"/>
              </w:rPr>
              <w:t>.996</w:t>
            </w:r>
          </w:p>
        </w:tc>
        <w:tc>
          <w:tcPr>
            <w:tcW w:w="1547" w:type="dxa"/>
            <w:tcBorders>
              <w:top w:val="single" w:sz="8" w:space="0" w:color="152935"/>
              <w:left w:val="single" w:sz="8" w:space="0" w:color="E0E0E0"/>
              <w:bottom w:val="single" w:sz="8" w:space="0" w:color="152935"/>
              <w:right w:val="single" w:sz="8" w:space="0" w:color="E0E0E0"/>
            </w:tcBorders>
            <w:shd w:val="clear" w:color="auto" w:fill="FFFFFF"/>
          </w:tcPr>
          <w:p w14:paraId="4336A532" w14:textId="77777777" w:rsidR="00844DAC" w:rsidRPr="00D250FA" w:rsidRDefault="00844DAC" w:rsidP="001B4143">
            <w:pPr>
              <w:widowControl w:val="0"/>
              <w:autoSpaceDE w:val="0"/>
              <w:autoSpaceDN w:val="0"/>
              <w:adjustRightInd w:val="0"/>
              <w:spacing w:line="320" w:lineRule="atLeast"/>
              <w:ind w:left="60" w:right="60"/>
              <w:jc w:val="right"/>
              <w:rPr>
                <w:rFonts w:ascii="Arial" w:hAnsi="Arial" w:cs="Arial"/>
                <w:color w:val="010205"/>
                <w:sz w:val="16"/>
                <w:szCs w:val="16"/>
                <w:lang w:val="en-US"/>
              </w:rPr>
            </w:pPr>
            <w:r w:rsidRPr="00D250FA">
              <w:rPr>
                <w:rFonts w:ascii="Arial" w:hAnsi="Arial" w:cs="Arial"/>
                <w:color w:val="010205"/>
                <w:sz w:val="16"/>
                <w:szCs w:val="16"/>
                <w:lang w:val="en-US"/>
              </w:rPr>
              <w:t>1.972</w:t>
            </w:r>
          </w:p>
        </w:tc>
        <w:tc>
          <w:tcPr>
            <w:tcW w:w="1080" w:type="dxa"/>
            <w:tcBorders>
              <w:top w:val="single" w:sz="8" w:space="0" w:color="152935"/>
              <w:left w:val="single" w:sz="8" w:space="0" w:color="E0E0E0"/>
              <w:bottom w:val="single" w:sz="8" w:space="0" w:color="152935"/>
              <w:right w:val="single" w:sz="8" w:space="0" w:color="E0E0E0"/>
            </w:tcBorders>
            <w:shd w:val="clear" w:color="auto" w:fill="FFFFFF"/>
          </w:tcPr>
          <w:p w14:paraId="226C402A" w14:textId="77777777" w:rsidR="00844DAC" w:rsidRPr="00D250FA" w:rsidRDefault="00844DAC" w:rsidP="001B4143">
            <w:pPr>
              <w:widowControl w:val="0"/>
              <w:autoSpaceDE w:val="0"/>
              <w:autoSpaceDN w:val="0"/>
              <w:adjustRightInd w:val="0"/>
              <w:spacing w:line="320" w:lineRule="atLeast"/>
              <w:ind w:left="60" w:right="60"/>
              <w:jc w:val="right"/>
              <w:rPr>
                <w:rFonts w:ascii="Arial" w:hAnsi="Arial" w:cs="Arial"/>
                <w:color w:val="010205"/>
                <w:sz w:val="16"/>
                <w:szCs w:val="16"/>
                <w:lang w:val="en-US"/>
              </w:rPr>
            </w:pPr>
            <w:r w:rsidRPr="00D250FA">
              <w:rPr>
                <w:rFonts w:ascii="Arial" w:hAnsi="Arial" w:cs="Arial"/>
                <w:color w:val="010205"/>
                <w:sz w:val="16"/>
                <w:szCs w:val="16"/>
                <w:lang w:val="en-US"/>
              </w:rPr>
              <w:t>2</w:t>
            </w:r>
          </w:p>
        </w:tc>
        <w:tc>
          <w:tcPr>
            <w:tcW w:w="1080" w:type="dxa"/>
            <w:tcBorders>
              <w:top w:val="single" w:sz="8" w:space="0" w:color="152935"/>
              <w:left w:val="single" w:sz="8" w:space="0" w:color="E0E0E0"/>
              <w:bottom w:val="single" w:sz="8" w:space="0" w:color="152935"/>
              <w:right w:val="single" w:sz="8" w:space="0" w:color="E0E0E0"/>
            </w:tcBorders>
            <w:shd w:val="clear" w:color="auto" w:fill="FFFFFF"/>
          </w:tcPr>
          <w:p w14:paraId="2DE64C4C" w14:textId="77777777" w:rsidR="00844DAC" w:rsidRPr="00D250FA" w:rsidRDefault="00844DAC" w:rsidP="001B4143">
            <w:pPr>
              <w:widowControl w:val="0"/>
              <w:autoSpaceDE w:val="0"/>
              <w:autoSpaceDN w:val="0"/>
              <w:adjustRightInd w:val="0"/>
              <w:spacing w:line="320" w:lineRule="atLeast"/>
              <w:ind w:left="60" w:right="60"/>
              <w:jc w:val="right"/>
              <w:rPr>
                <w:rFonts w:ascii="Arial" w:hAnsi="Arial" w:cs="Arial"/>
                <w:color w:val="010205"/>
                <w:sz w:val="16"/>
                <w:szCs w:val="16"/>
                <w:lang w:val="en-US"/>
              </w:rPr>
            </w:pPr>
            <w:r w:rsidRPr="00D250FA">
              <w:rPr>
                <w:rFonts w:ascii="Arial" w:hAnsi="Arial" w:cs="Arial"/>
                <w:color w:val="010205"/>
                <w:sz w:val="16"/>
                <w:szCs w:val="16"/>
                <w:lang w:val="en-US"/>
              </w:rPr>
              <w:t>.373</w:t>
            </w:r>
          </w:p>
        </w:tc>
      </w:tr>
      <w:tr w:rsidR="00844DAC" w:rsidRPr="00D250FA" w14:paraId="76980A1F" w14:textId="77777777" w:rsidTr="001B4143">
        <w:trPr>
          <w:cantSplit/>
        </w:trPr>
        <w:tc>
          <w:tcPr>
            <w:tcW w:w="11940" w:type="dxa"/>
            <w:gridSpan w:val="6"/>
            <w:tcBorders>
              <w:top w:val="nil"/>
              <w:left w:val="nil"/>
              <w:bottom w:val="nil"/>
              <w:right w:val="nil"/>
            </w:tcBorders>
            <w:shd w:val="clear" w:color="auto" w:fill="FFFFFF"/>
          </w:tcPr>
          <w:p w14:paraId="4DF978B1" w14:textId="77777777" w:rsidR="00844DAC" w:rsidRPr="00D250FA" w:rsidRDefault="00844DAC" w:rsidP="001B4143">
            <w:pPr>
              <w:widowControl w:val="0"/>
              <w:autoSpaceDE w:val="0"/>
              <w:autoSpaceDN w:val="0"/>
              <w:adjustRightInd w:val="0"/>
              <w:spacing w:line="320" w:lineRule="atLeast"/>
              <w:ind w:right="60"/>
              <w:rPr>
                <w:rFonts w:ascii="Arial" w:hAnsi="Arial" w:cs="Arial"/>
                <w:color w:val="010205"/>
                <w:lang w:val="en-US"/>
              </w:rPr>
            </w:pPr>
          </w:p>
        </w:tc>
      </w:tr>
    </w:tbl>
    <w:p w14:paraId="41C92FB6" w14:textId="77777777" w:rsidR="00844DAC" w:rsidRPr="00D250FA" w:rsidRDefault="00844DAC" w:rsidP="00844DAC">
      <w:pPr>
        <w:widowControl w:val="0"/>
        <w:autoSpaceDE w:val="0"/>
        <w:autoSpaceDN w:val="0"/>
        <w:adjustRightInd w:val="0"/>
        <w:rPr>
          <w:rFonts w:ascii="Times New Roman" w:hAnsi="Times New Roman" w:cs="Times New Roman"/>
          <w:lang w:val="en-US"/>
        </w:rPr>
      </w:pPr>
    </w:p>
    <w:p w14:paraId="74C6DE7F" w14:textId="5F96003C" w:rsidR="00844DAC" w:rsidRDefault="00844DAC" w:rsidP="00844DAC">
      <w:r>
        <w:t>Please provide a critical commentary of their analysis (highlighting statements that are incorrect) from the description as follows:</w:t>
      </w:r>
    </w:p>
    <w:p w14:paraId="0C52A760" w14:textId="77777777" w:rsidR="00844DAC" w:rsidRDefault="00844DAC" w:rsidP="00844DAC"/>
    <w:p w14:paraId="59EBBD74" w14:textId="334ECA55" w:rsidR="00844DAC" w:rsidRDefault="00844DAC" w:rsidP="00844DAC">
      <w:pPr>
        <w:rPr>
          <w:b/>
        </w:rPr>
      </w:pPr>
      <w:r>
        <w:t>“We ran a 1-way repeated measures ANOVA to determine if there are statistically significant differences in the ratings across the 3 different types of job satisfaction.  An advantage of this approach is the probability of a Type 1 error is reduced due to the fact that each participant provided three data points instead of one. The Mauchly test was not statistically significant and thus we interpret</w:t>
      </w:r>
      <w:r w:rsidR="00AF6BCB">
        <w:t>e</w:t>
      </w:r>
      <w:r>
        <w:t xml:space="preserve">d the Greenhouse-Geisser F-test results.  The results are statistically significant F(2,1.9) = 83.6, p=.000, with an Eta squared of  .19, suggesting that job satisfaction across the 3 types </w:t>
      </w:r>
      <w:r w:rsidR="008E6F70">
        <w:t xml:space="preserve">of satisfaction </w:t>
      </w:r>
      <w:r>
        <w:t xml:space="preserve">accounts for 19% </w:t>
      </w:r>
      <w:r w:rsidR="00AF6BCB">
        <w:t>of</w:t>
      </w:r>
      <w:r>
        <w:t xml:space="preserve"> the variability in group membership. Post-hoc independent sample t-test results reveal that all pairwise comparisons are statistically significant at p &lt;.05”.  </w:t>
      </w:r>
      <w:r w:rsidRPr="004F0106">
        <w:rPr>
          <w:b/>
        </w:rPr>
        <w:t>Please number your criticisms as you describe them in turn.</w:t>
      </w:r>
      <w:r>
        <w:rPr>
          <w:b/>
        </w:rPr>
        <w:t xml:space="preserve"> </w:t>
      </w:r>
      <w:r w:rsidR="008E6F70">
        <w:rPr>
          <w:b/>
        </w:rPr>
        <w:t xml:space="preserve">Label each criticism separately (i.e., Criticism 1, Criticism X etc.) </w:t>
      </w:r>
      <w:r>
        <w:rPr>
          <w:b/>
        </w:rPr>
        <w:t>Each criticism should be one sentence in length – two at maximum.</w:t>
      </w:r>
    </w:p>
    <w:p w14:paraId="43CFF218" w14:textId="77777777" w:rsidR="00844DAC" w:rsidRDefault="00844DAC" w:rsidP="00844DAC">
      <w:pPr>
        <w:rPr>
          <w:b/>
        </w:rPr>
      </w:pPr>
    </w:p>
    <w:p w14:paraId="2F0DAE71" w14:textId="59CAEE52" w:rsidR="000178BC" w:rsidRDefault="00B13CB3" w:rsidP="000178BC">
      <w:r>
        <w:lastRenderedPageBreak/>
        <w:t>6</w:t>
      </w:r>
      <w:r w:rsidR="000178BC">
        <w:t>.  When interpreting individuals’ scores on some measure why are standardized scores potentially beneficial compared to absolute raw scores?  Why are z-scores also useful when computing and interpreting the covariance between two variables?</w:t>
      </w:r>
    </w:p>
    <w:p w14:paraId="3AE9ECC2" w14:textId="77777777" w:rsidR="000178BC" w:rsidRDefault="000178BC" w:rsidP="000178BC"/>
    <w:p w14:paraId="60AA488D" w14:textId="019B4866" w:rsidR="00B13CB3" w:rsidRDefault="000178BC" w:rsidP="000178BC">
      <w:r>
        <w:t xml:space="preserve">7.  </w:t>
      </w:r>
      <w:r w:rsidR="00B13CB3">
        <w:t>Here is an excerpt from an article published in a top scholarly journal. Do you agree with the authors’ reasoning bases upon their description of the results? W</w:t>
      </w:r>
      <w:r w:rsidR="00662B46">
        <w:t>ould you have recommended a different analytic approach?</w:t>
      </w:r>
      <w:r w:rsidR="00B13CB3">
        <w:t xml:space="preserve"> </w:t>
      </w:r>
      <w:r w:rsidR="00662B46">
        <w:t>W</w:t>
      </w:r>
      <w:r w:rsidR="00B13CB3">
        <w:t xml:space="preserve">hy </w:t>
      </w:r>
      <w:r w:rsidR="00662B46">
        <w:t xml:space="preserve">or why </w:t>
      </w:r>
      <w:r w:rsidR="00B13CB3">
        <w:t>not?</w:t>
      </w:r>
    </w:p>
    <w:p w14:paraId="5B91FF68" w14:textId="7FAE2395" w:rsidR="000178BC" w:rsidRDefault="000178BC" w:rsidP="000178BC"/>
    <w:p w14:paraId="56980D94" w14:textId="2B458787" w:rsidR="00B13CB3" w:rsidRDefault="00B13CB3" w:rsidP="000178BC">
      <w:r>
        <w:t xml:space="preserve">“We were interested in examining 3 different AMAZON delivery systems to determine which one would show the fastest processing speed.  We expected the third system using flying drones to significantly decrease the time it takes for customers to receive their orders compared to the other 2 systems under consideration.  </w:t>
      </w:r>
      <w:r w:rsidR="00662B46">
        <w:t xml:space="preserve">Accordingly, we decided the appropriate approach to take is a 1-way ANOVA test with time from order to customer receipt as the dependent variable.  Results indicated a statistically significant result F(2, 322) = 6 , p=.000, Eta Squared = .03.  </w:t>
      </w:r>
      <w:r w:rsidR="00923C02">
        <w:t>In practical terms, t</w:t>
      </w:r>
      <w:r w:rsidR="00662B46">
        <w:t>his result indicates significantly faster delivery times depending on the method of delivery.  However, our follow-up Tukey HSD test</w:t>
      </w:r>
      <w:r w:rsidR="00AF6BCB">
        <w:t xml:space="preserve">s </w:t>
      </w:r>
      <w:r w:rsidR="00662B46">
        <w:t>failed to find any significant pairwise comparisons among the means (p &gt; .05 for each test). This lack of significance is not easily explainable and, overall, suggests mixed support for our hypothesis.”</w:t>
      </w:r>
    </w:p>
    <w:p w14:paraId="1D417C35" w14:textId="7446AC3B" w:rsidR="00B13CB3" w:rsidRDefault="00B13CB3" w:rsidP="000178BC"/>
    <w:p w14:paraId="564A4F5D" w14:textId="77777777" w:rsidR="00B13CB3" w:rsidRDefault="00B13CB3" w:rsidP="000178BC"/>
    <w:p w14:paraId="409AB186" w14:textId="07E327B5" w:rsidR="00561059" w:rsidRDefault="000178BC" w:rsidP="00561059">
      <w:pPr>
        <w:rPr>
          <w:rFonts w:ascii="Times New Roman" w:hAnsi="Times New Roman" w:cs="Times New Roman"/>
        </w:rPr>
      </w:pPr>
      <w:r>
        <w:t xml:space="preserve">8. </w:t>
      </w:r>
      <w:r w:rsidR="00662B46">
        <w:t xml:space="preserve"> </w:t>
      </w:r>
      <w:r w:rsidR="00561059">
        <w:rPr>
          <w:rFonts w:ascii="Times New Roman" w:hAnsi="Times New Roman" w:cs="Times New Roman"/>
        </w:rPr>
        <w:t xml:space="preserve">Is the following quotation correct? Why or why not?  “When we </w:t>
      </w:r>
      <w:r w:rsidR="00561059" w:rsidRPr="00BB1610">
        <w:rPr>
          <w:rFonts w:ascii="Times New Roman" w:hAnsi="Times New Roman" w:cs="Times New Roman"/>
        </w:rPr>
        <w:t>condu</w:t>
      </w:r>
      <w:r w:rsidR="00561059">
        <w:rPr>
          <w:rFonts w:ascii="Times New Roman" w:hAnsi="Times New Roman" w:cs="Times New Roman"/>
        </w:rPr>
        <w:t xml:space="preserve">ct a t-test of group differences or a one-way ANOVA, we are </w:t>
      </w:r>
      <w:r w:rsidR="00561059" w:rsidRPr="00BB1610">
        <w:rPr>
          <w:rFonts w:ascii="Times New Roman" w:hAnsi="Times New Roman" w:cs="Times New Roman"/>
        </w:rPr>
        <w:t xml:space="preserve">concerned about </w:t>
      </w:r>
      <w:r w:rsidR="00561059">
        <w:rPr>
          <w:rFonts w:ascii="Times New Roman" w:hAnsi="Times New Roman" w:cs="Times New Roman"/>
        </w:rPr>
        <w:t>the size of the SS</w:t>
      </w:r>
      <w:r w:rsidR="00561059">
        <w:rPr>
          <w:rFonts w:ascii="Times New Roman" w:hAnsi="Times New Roman" w:cs="Times New Roman"/>
          <w:vertAlign w:val="subscript"/>
        </w:rPr>
        <w:t>within</w:t>
      </w:r>
      <w:r w:rsidR="00561059">
        <w:rPr>
          <w:rFonts w:ascii="Times New Roman" w:hAnsi="Times New Roman" w:cs="Times New Roman"/>
        </w:rPr>
        <w:t xml:space="preserve"> relative to the size of the SS</w:t>
      </w:r>
      <w:r w:rsidR="00561059">
        <w:rPr>
          <w:rFonts w:ascii="Times New Roman" w:hAnsi="Times New Roman" w:cs="Times New Roman"/>
          <w:vertAlign w:val="subscript"/>
        </w:rPr>
        <w:t>between</w:t>
      </w:r>
      <w:r w:rsidR="00561059">
        <w:rPr>
          <w:rFonts w:ascii="Times New Roman" w:hAnsi="Times New Roman" w:cs="Times New Roman"/>
        </w:rPr>
        <w:t xml:space="preserve"> - rather than the absolute magnitude of within group variability</w:t>
      </w:r>
      <w:r w:rsidR="008E6F70">
        <w:rPr>
          <w:rFonts w:ascii="Times New Roman" w:hAnsi="Times New Roman" w:cs="Times New Roman"/>
        </w:rPr>
        <w:t>”</w:t>
      </w:r>
      <w:r w:rsidR="00561059">
        <w:rPr>
          <w:rFonts w:ascii="Times New Roman" w:hAnsi="Times New Roman" w:cs="Times New Roman"/>
        </w:rPr>
        <w:t xml:space="preserve">. Also, when we perform </w:t>
      </w:r>
      <w:r w:rsidR="008E6F70">
        <w:rPr>
          <w:rFonts w:ascii="Times New Roman" w:hAnsi="Times New Roman" w:cs="Times New Roman"/>
        </w:rPr>
        <w:t>a 1-way ANOVA is it fair to say we are testing the null hypothesis that Eta Squared = 0 in the population?  Why or why not?</w:t>
      </w:r>
    </w:p>
    <w:p w14:paraId="0B001613" w14:textId="1E00F02D" w:rsidR="000178BC" w:rsidRDefault="000178BC" w:rsidP="000178BC"/>
    <w:p w14:paraId="53AC5CBB" w14:textId="77777777" w:rsidR="000178BC" w:rsidRDefault="000178BC" w:rsidP="000178BC"/>
    <w:p w14:paraId="58E20141" w14:textId="62F22D59" w:rsidR="008E4BDB" w:rsidRPr="008E6F70" w:rsidRDefault="008E4BDB" w:rsidP="008E6F70">
      <w:pPr>
        <w:widowControl w:val="0"/>
        <w:autoSpaceDE w:val="0"/>
        <w:autoSpaceDN w:val="0"/>
        <w:adjustRightInd w:val="0"/>
        <w:rPr>
          <w:b/>
        </w:rPr>
      </w:pPr>
    </w:p>
    <w:sectPr w:rsidR="008E4BDB" w:rsidRPr="008E6F70" w:rsidSect="0077679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659AE"/>
    <w:multiLevelType w:val="hybridMultilevel"/>
    <w:tmpl w:val="F5240B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512EE9"/>
    <w:multiLevelType w:val="hybridMultilevel"/>
    <w:tmpl w:val="365E2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481095"/>
    <w:multiLevelType w:val="hybridMultilevel"/>
    <w:tmpl w:val="479827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81D73BC"/>
    <w:multiLevelType w:val="hybridMultilevel"/>
    <w:tmpl w:val="0BAC0846"/>
    <w:lvl w:ilvl="0" w:tplc="A1D4B7C4">
      <w:start w:val="1"/>
      <w:numFmt w:val="lowerLetter"/>
      <w:lvlText w:val="%1."/>
      <w:lvlJc w:val="left"/>
      <w:pPr>
        <w:ind w:left="643" w:hanging="360"/>
      </w:pPr>
      <w:rPr>
        <w:rFonts w:hint="default"/>
        <w:b w:val="0"/>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num w:numId="1" w16cid:durableId="1050615781">
    <w:abstractNumId w:val="1"/>
  </w:num>
  <w:num w:numId="2" w16cid:durableId="1776752017">
    <w:abstractNumId w:val="0"/>
  </w:num>
  <w:num w:numId="3" w16cid:durableId="1448507225">
    <w:abstractNumId w:val="2"/>
  </w:num>
  <w:num w:numId="4" w16cid:durableId="95319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0E8"/>
    <w:rsid w:val="00006690"/>
    <w:rsid w:val="000178BC"/>
    <w:rsid w:val="00037145"/>
    <w:rsid w:val="000F02DF"/>
    <w:rsid w:val="00123863"/>
    <w:rsid w:val="00195082"/>
    <w:rsid w:val="00195D44"/>
    <w:rsid w:val="00224A56"/>
    <w:rsid w:val="00263444"/>
    <w:rsid w:val="002736FC"/>
    <w:rsid w:val="00287D5B"/>
    <w:rsid w:val="002D266C"/>
    <w:rsid w:val="003825CD"/>
    <w:rsid w:val="00393871"/>
    <w:rsid w:val="003B32AB"/>
    <w:rsid w:val="003B5DE3"/>
    <w:rsid w:val="00442DA4"/>
    <w:rsid w:val="004A15A1"/>
    <w:rsid w:val="004F0106"/>
    <w:rsid w:val="005071B0"/>
    <w:rsid w:val="00522C68"/>
    <w:rsid w:val="00561059"/>
    <w:rsid w:val="0061630C"/>
    <w:rsid w:val="0062598C"/>
    <w:rsid w:val="006572CA"/>
    <w:rsid w:val="00662B46"/>
    <w:rsid w:val="006765E7"/>
    <w:rsid w:val="006E0540"/>
    <w:rsid w:val="00715661"/>
    <w:rsid w:val="007741BB"/>
    <w:rsid w:val="00776791"/>
    <w:rsid w:val="007D20E8"/>
    <w:rsid w:val="007D7C31"/>
    <w:rsid w:val="00817D71"/>
    <w:rsid w:val="00835D66"/>
    <w:rsid w:val="00844DAC"/>
    <w:rsid w:val="00850813"/>
    <w:rsid w:val="008518E5"/>
    <w:rsid w:val="008766C6"/>
    <w:rsid w:val="008E4BDB"/>
    <w:rsid w:val="008E6F70"/>
    <w:rsid w:val="00903860"/>
    <w:rsid w:val="00923C02"/>
    <w:rsid w:val="00940E75"/>
    <w:rsid w:val="009973A6"/>
    <w:rsid w:val="00A1155D"/>
    <w:rsid w:val="00A125C6"/>
    <w:rsid w:val="00A17F07"/>
    <w:rsid w:val="00AB3450"/>
    <w:rsid w:val="00AB5F1C"/>
    <w:rsid w:val="00AE0ED5"/>
    <w:rsid w:val="00AF6BCB"/>
    <w:rsid w:val="00B13CB3"/>
    <w:rsid w:val="00B330AD"/>
    <w:rsid w:val="00B905B7"/>
    <w:rsid w:val="00B979F4"/>
    <w:rsid w:val="00BA0F48"/>
    <w:rsid w:val="00BC3996"/>
    <w:rsid w:val="00C17D35"/>
    <w:rsid w:val="00C24EB6"/>
    <w:rsid w:val="00C318EA"/>
    <w:rsid w:val="00C4025B"/>
    <w:rsid w:val="00CB5195"/>
    <w:rsid w:val="00CC4F69"/>
    <w:rsid w:val="00CD4421"/>
    <w:rsid w:val="00CE5455"/>
    <w:rsid w:val="00D03FFB"/>
    <w:rsid w:val="00D04ADE"/>
    <w:rsid w:val="00D10C0E"/>
    <w:rsid w:val="00D250FA"/>
    <w:rsid w:val="00D3557D"/>
    <w:rsid w:val="00D61C0C"/>
    <w:rsid w:val="00DB7928"/>
    <w:rsid w:val="00DD7310"/>
    <w:rsid w:val="00E36D55"/>
    <w:rsid w:val="00E66584"/>
    <w:rsid w:val="00E8291A"/>
    <w:rsid w:val="00E85B73"/>
    <w:rsid w:val="00ED5C70"/>
    <w:rsid w:val="00EF1463"/>
    <w:rsid w:val="00F255F3"/>
    <w:rsid w:val="00F64D38"/>
    <w:rsid w:val="00F80ED6"/>
    <w:rsid w:val="00FE6E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EDA621"/>
  <w14:defaultImageDpi w14:val="300"/>
  <w15:docId w15:val="{49DC2DD4-99D1-364A-9213-071F99B63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0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960</Words>
  <Characters>5478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memorial university of newfoundland</Company>
  <LinksUpToDate>false</LinksUpToDate>
  <CharactersWithSpaces>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lorne sulsky</dc:creator>
  <cp:keywords/>
  <dc:description/>
  <cp:lastModifiedBy>Fahad</cp:lastModifiedBy>
  <cp:revision>4</cp:revision>
  <cp:lastPrinted>2018-02-12T21:05:00Z</cp:lastPrinted>
  <dcterms:created xsi:type="dcterms:W3CDTF">2022-10-17T18:55:00Z</dcterms:created>
  <dcterms:modified xsi:type="dcterms:W3CDTF">2022-10-18T02:40:00Z</dcterms:modified>
</cp:coreProperties>
</file>