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A577" w14:textId="77777777" w:rsidR="00D8174F" w:rsidRDefault="00D8174F" w:rsidP="00D8174F">
      <w:pPr>
        <w:pStyle w:val="Default"/>
        <w:rPr>
          <w:rFonts w:asciiTheme="minorHAnsi" w:hAnsiTheme="minorHAnsi"/>
          <w:b/>
          <w:bCs/>
        </w:rPr>
      </w:pPr>
    </w:p>
    <w:p w14:paraId="5EC22F6D" w14:textId="0A156572" w:rsidR="00D8174F" w:rsidRDefault="00D8174F" w:rsidP="00D8174F">
      <w:pPr>
        <w:pStyle w:val="Defaul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Financial Statement Analysis</w:t>
      </w:r>
    </w:p>
    <w:p w14:paraId="5AA24356" w14:textId="77777777" w:rsidR="00D8174F" w:rsidRPr="00D854DF" w:rsidRDefault="00D8174F" w:rsidP="00D8174F">
      <w:pPr>
        <w:pStyle w:val="Default"/>
        <w:rPr>
          <w:rFonts w:asciiTheme="minorHAnsi" w:hAnsiTheme="minorHAnsi"/>
        </w:rPr>
      </w:pPr>
    </w:p>
    <w:p w14:paraId="1DFE12CF" w14:textId="77777777" w:rsidR="00D8174F" w:rsidRDefault="00D8174F" w:rsidP="00D8174F">
      <w:pPr>
        <w:jc w:val="both"/>
        <w:rPr>
          <w:sz w:val="24"/>
          <w:szCs w:val="24"/>
        </w:rPr>
      </w:pPr>
      <w:r w:rsidRPr="008F18BC">
        <w:rPr>
          <w:sz w:val="24"/>
          <w:szCs w:val="24"/>
        </w:rPr>
        <w:t xml:space="preserve">This Question is based on the </w:t>
      </w:r>
      <w:r>
        <w:rPr>
          <w:sz w:val="24"/>
          <w:szCs w:val="24"/>
        </w:rPr>
        <w:t xml:space="preserve">2020 and </w:t>
      </w:r>
      <w:r w:rsidRPr="008F18BC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8F18BC">
        <w:rPr>
          <w:sz w:val="24"/>
          <w:szCs w:val="24"/>
        </w:rPr>
        <w:t xml:space="preserve"> published consolidated financial statements of </w:t>
      </w:r>
      <w:proofErr w:type="spellStart"/>
      <w:r w:rsidRPr="008F18BC">
        <w:rPr>
          <w:sz w:val="24"/>
          <w:szCs w:val="24"/>
        </w:rPr>
        <w:t>Delegat</w:t>
      </w:r>
      <w:proofErr w:type="spellEnd"/>
      <w:r w:rsidRPr="008F18BC">
        <w:rPr>
          <w:sz w:val="24"/>
          <w:szCs w:val="24"/>
        </w:rPr>
        <w:t xml:space="preserve"> Group Limited (D</w:t>
      </w:r>
      <w:r>
        <w:rPr>
          <w:sz w:val="24"/>
          <w:szCs w:val="24"/>
        </w:rPr>
        <w:t>GL</w:t>
      </w:r>
      <w:r w:rsidRPr="008F18BC">
        <w:rPr>
          <w:sz w:val="24"/>
          <w:szCs w:val="24"/>
        </w:rPr>
        <w:t>)</w:t>
      </w:r>
      <w:r>
        <w:rPr>
          <w:rStyle w:val="FootnoteReference"/>
          <w:sz w:val="24"/>
          <w:szCs w:val="24"/>
        </w:rPr>
        <w:footnoteReference w:id="1"/>
      </w:r>
      <w:r w:rsidRPr="008F18BC">
        <w:rPr>
          <w:sz w:val="24"/>
          <w:szCs w:val="24"/>
        </w:rPr>
        <w:t>. D</w:t>
      </w:r>
      <w:r>
        <w:rPr>
          <w:sz w:val="24"/>
          <w:szCs w:val="24"/>
        </w:rPr>
        <w:t>GL</w:t>
      </w:r>
      <w:r w:rsidRPr="008F18BC">
        <w:rPr>
          <w:sz w:val="24"/>
          <w:szCs w:val="24"/>
        </w:rPr>
        <w:t xml:space="preserve"> is a New Zealand based wine company that specialises in making “super-premium” wines which are sold in the domestic and overseas markets. The company has vineyards in New Zealand and Australia</w:t>
      </w:r>
      <w:r w:rsidRPr="009072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37245D80" w14:textId="77777777" w:rsidR="00D8174F" w:rsidRPr="008F18BC" w:rsidRDefault="00D8174F" w:rsidP="00D8174F">
      <w:pPr>
        <w:jc w:val="both"/>
        <w:rPr>
          <w:b/>
          <w:sz w:val="24"/>
          <w:szCs w:val="24"/>
          <w:lang w:val="en-GB"/>
        </w:rPr>
      </w:pPr>
      <w:r w:rsidRPr="008F18BC">
        <w:rPr>
          <w:sz w:val="24"/>
          <w:szCs w:val="24"/>
        </w:rPr>
        <w:t>The financial statements are included in the company’s annual report which can be obtained by clicking on the following link</w:t>
      </w:r>
      <w:r w:rsidRPr="00140FDD">
        <w:rPr>
          <w:sz w:val="24"/>
          <w:szCs w:val="24"/>
        </w:rPr>
        <w:t xml:space="preserve">: </w:t>
      </w:r>
      <w:r w:rsidRPr="00C845E1">
        <w:rPr>
          <w:rStyle w:val="Hyperlink"/>
          <w:sz w:val="24"/>
          <w:szCs w:val="24"/>
        </w:rPr>
        <w:t>https://www.delegat.com/wp-content/uploads/2021/09/DGL-Annual-Report-2021.pdf</w:t>
      </w:r>
      <w:r>
        <w:t xml:space="preserve"> </w:t>
      </w:r>
    </w:p>
    <w:p w14:paraId="0923CA39" w14:textId="77777777" w:rsidR="00D8174F" w:rsidRPr="008F18BC" w:rsidRDefault="00D8174F" w:rsidP="00D8174F">
      <w:pPr>
        <w:pStyle w:val="Default"/>
        <w:spacing w:line="259" w:lineRule="auto"/>
        <w:rPr>
          <w:rFonts w:asciiTheme="minorHAnsi" w:hAnsiTheme="minorHAnsi" w:cs="Times New Roman"/>
        </w:rPr>
      </w:pPr>
      <w:r w:rsidRPr="008F18BC">
        <w:rPr>
          <w:rFonts w:asciiTheme="minorHAnsi" w:hAnsiTheme="minorHAnsi" w:cs="Times New Roman"/>
        </w:rPr>
        <w:t>You have been asked to prepare some briefing notes for a group of potential individual investors to assist them in deciding whether or not to invest in D</w:t>
      </w:r>
      <w:r>
        <w:rPr>
          <w:rFonts w:asciiTheme="minorHAnsi" w:hAnsiTheme="minorHAnsi" w:cs="Times New Roman"/>
        </w:rPr>
        <w:t>GL</w:t>
      </w:r>
      <w:r w:rsidRPr="008F18BC">
        <w:rPr>
          <w:rFonts w:asciiTheme="minorHAnsi" w:hAnsiTheme="minorHAnsi" w:cs="Times New Roman"/>
        </w:rPr>
        <w:t>. The investors are particularly interested in understanding D</w:t>
      </w:r>
      <w:r>
        <w:rPr>
          <w:rFonts w:asciiTheme="minorHAnsi" w:hAnsiTheme="minorHAnsi" w:cs="Times New Roman"/>
        </w:rPr>
        <w:t>GL</w:t>
      </w:r>
      <w:r w:rsidRPr="008F18BC">
        <w:rPr>
          <w:rFonts w:asciiTheme="minorHAnsi" w:hAnsiTheme="minorHAnsi" w:cs="Times New Roman"/>
        </w:rPr>
        <w:t>’s recent financial results as well as some information about specific aspects of D</w:t>
      </w:r>
      <w:r>
        <w:rPr>
          <w:rFonts w:asciiTheme="minorHAnsi" w:hAnsiTheme="minorHAnsi" w:cs="Times New Roman"/>
        </w:rPr>
        <w:t>GL</w:t>
      </w:r>
      <w:r w:rsidRPr="008F18BC">
        <w:rPr>
          <w:rFonts w:asciiTheme="minorHAnsi" w:hAnsiTheme="minorHAnsi" w:cs="Times New Roman"/>
        </w:rPr>
        <w:t>’s business.</w:t>
      </w:r>
    </w:p>
    <w:p w14:paraId="3D11B490" w14:textId="77777777" w:rsidR="00D8174F" w:rsidRPr="008F18BC" w:rsidRDefault="00D8174F" w:rsidP="00D8174F">
      <w:pPr>
        <w:pStyle w:val="Default"/>
        <w:rPr>
          <w:rFonts w:asciiTheme="minorHAnsi" w:hAnsiTheme="minorHAnsi" w:cs="Times New Roman"/>
        </w:rPr>
      </w:pPr>
    </w:p>
    <w:p w14:paraId="2372B24F" w14:textId="77777777" w:rsidR="00D8174F" w:rsidRPr="008F18BC" w:rsidRDefault="00D8174F" w:rsidP="00D8174F">
      <w:pPr>
        <w:rPr>
          <w:b/>
          <w:color w:val="000000"/>
          <w:sz w:val="24"/>
          <w:szCs w:val="24"/>
        </w:rPr>
      </w:pPr>
    </w:p>
    <w:p w14:paraId="022F44F7" w14:textId="77777777" w:rsidR="00D8174F" w:rsidRPr="008F18BC" w:rsidRDefault="00D8174F" w:rsidP="00D8174F">
      <w:pPr>
        <w:numPr>
          <w:ilvl w:val="0"/>
          <w:numId w:val="3"/>
        </w:numPr>
        <w:tabs>
          <w:tab w:val="clear" w:pos="1070"/>
          <w:tab w:val="num" w:pos="360"/>
        </w:tabs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Calculate</w:t>
      </w:r>
      <w:r w:rsidRPr="008F18BC">
        <w:rPr>
          <w:sz w:val="24"/>
          <w:szCs w:val="24"/>
        </w:rPr>
        <w:t xml:space="preserve"> a range of ratios that</w:t>
      </w:r>
      <w:r>
        <w:rPr>
          <w:sz w:val="24"/>
          <w:szCs w:val="24"/>
        </w:rPr>
        <w:t xml:space="preserve"> would assist in the evaluation of</w:t>
      </w:r>
      <w:r w:rsidRPr="008F18BC">
        <w:rPr>
          <w:sz w:val="24"/>
          <w:szCs w:val="24"/>
        </w:rPr>
        <w:t xml:space="preserve"> the financial performance and position of </w:t>
      </w:r>
      <w:r>
        <w:rPr>
          <w:sz w:val="24"/>
          <w:szCs w:val="24"/>
        </w:rPr>
        <w:t xml:space="preserve">DGL </w:t>
      </w:r>
      <w:r w:rsidRPr="008F18BC">
        <w:rPr>
          <w:sz w:val="24"/>
          <w:szCs w:val="24"/>
        </w:rPr>
        <w:t xml:space="preserve">covering the two (2) years, </w:t>
      </w:r>
      <w:r>
        <w:rPr>
          <w:sz w:val="24"/>
          <w:szCs w:val="24"/>
        </w:rPr>
        <w:t>2020</w:t>
      </w:r>
      <w:r w:rsidRPr="008F18BC">
        <w:rPr>
          <w:sz w:val="24"/>
          <w:szCs w:val="24"/>
        </w:rPr>
        <w:t xml:space="preserve"> and </w:t>
      </w:r>
      <w:r>
        <w:rPr>
          <w:sz w:val="24"/>
          <w:szCs w:val="24"/>
        </w:rPr>
        <w:t>2021</w:t>
      </w:r>
      <w:r w:rsidRPr="008F18BC">
        <w:rPr>
          <w:sz w:val="24"/>
          <w:szCs w:val="24"/>
        </w:rPr>
        <w:t>.</w:t>
      </w:r>
    </w:p>
    <w:p w14:paraId="3D61875F" w14:textId="3E4139F5" w:rsidR="00D8174F" w:rsidRDefault="00D8174F" w:rsidP="00D8174F">
      <w:pPr>
        <w:spacing w:after="0" w:line="240" w:lineRule="auto"/>
        <w:ind w:left="360"/>
        <w:rPr>
          <w:sz w:val="24"/>
          <w:szCs w:val="24"/>
        </w:rPr>
      </w:pPr>
    </w:p>
    <w:p w14:paraId="67594C23" w14:textId="1705F224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Return on Ordinary shareholders funds ROSF (otherwise called ROE)</w:t>
      </w:r>
    </w:p>
    <w:p w14:paraId="5A271223" w14:textId="17405760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Return on Total Assets ROA</w:t>
      </w:r>
    </w:p>
    <w:p w14:paraId="1A64CA61" w14:textId="2586C35F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Return on capital employed ROCE</w:t>
      </w:r>
    </w:p>
    <w:p w14:paraId="3E01E9FB" w14:textId="599598A6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Profit margin and profit margin ratio</w:t>
      </w:r>
    </w:p>
    <w:p w14:paraId="5B0E04F3" w14:textId="6056D1AB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Gross profit margin and ratio</w:t>
      </w:r>
    </w:p>
    <w:p w14:paraId="7DB66F6C" w14:textId="7AF8DA12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Average inventory turnover period</w:t>
      </w:r>
    </w:p>
    <w:p w14:paraId="37D2D861" w14:textId="25492359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Average utilisation ratio</w:t>
      </w:r>
    </w:p>
    <w:p w14:paraId="01DDC528" w14:textId="70D19743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Average settlement period</w:t>
      </w:r>
    </w:p>
    <w:p w14:paraId="33A4CEEA" w14:textId="06599891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Asset turnover period</w:t>
      </w:r>
    </w:p>
    <w:p w14:paraId="363E9B5D" w14:textId="6087999F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Current ratio</w:t>
      </w:r>
    </w:p>
    <w:p w14:paraId="4D1D5BDA" w14:textId="6ECD0795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Acid Test ratio</w:t>
      </w:r>
    </w:p>
    <w:p w14:paraId="4AA8DFA1" w14:textId="57F9E79E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Cash flow from operations ratio</w:t>
      </w:r>
    </w:p>
    <w:p w14:paraId="293784E5" w14:textId="4E60343B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Financial gearing ratio</w:t>
      </w:r>
    </w:p>
    <w:p w14:paraId="5BC0A6E1" w14:textId="6C2458B2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Interest cover ratio</w:t>
      </w:r>
    </w:p>
    <w:p w14:paraId="496B901C" w14:textId="7502C571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Dividends per share</w:t>
      </w:r>
    </w:p>
    <w:p w14:paraId="065D6E59" w14:textId="13C848E5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Dividend </w:t>
      </w:r>
      <w:proofErr w:type="spellStart"/>
      <w:r>
        <w:rPr>
          <w:sz w:val="24"/>
          <w:szCs w:val="24"/>
        </w:rPr>
        <w:t>payout</w:t>
      </w:r>
      <w:proofErr w:type="spellEnd"/>
      <w:r>
        <w:rPr>
          <w:sz w:val="24"/>
          <w:szCs w:val="24"/>
        </w:rPr>
        <w:t xml:space="preserve"> ratio</w:t>
      </w:r>
    </w:p>
    <w:p w14:paraId="05A13B82" w14:textId="58682E09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Dividend yield ratio</w:t>
      </w:r>
    </w:p>
    <w:p w14:paraId="2FBAFCF7" w14:textId="28A6AE63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Earnings per share</w:t>
      </w:r>
    </w:p>
    <w:p w14:paraId="1D7CE6C8" w14:textId="5504A3CC" w:rsidR="0034772B" w:rsidRDefault="0034772B" w:rsidP="0034772B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Price earnings ratio</w:t>
      </w:r>
    </w:p>
    <w:p w14:paraId="0CBB9804" w14:textId="77777777" w:rsidR="0034772B" w:rsidRPr="0034772B" w:rsidRDefault="0034772B" w:rsidP="0034772B">
      <w:pPr>
        <w:spacing w:after="0" w:line="240" w:lineRule="auto"/>
        <w:ind w:left="1790"/>
        <w:rPr>
          <w:sz w:val="24"/>
          <w:szCs w:val="24"/>
        </w:rPr>
      </w:pPr>
    </w:p>
    <w:p w14:paraId="72076C23" w14:textId="21CC7CCB" w:rsidR="0034772B" w:rsidRDefault="0034772B" w:rsidP="00D8174F">
      <w:pPr>
        <w:spacing w:after="0" w:line="240" w:lineRule="auto"/>
        <w:ind w:left="360"/>
        <w:rPr>
          <w:sz w:val="24"/>
          <w:szCs w:val="24"/>
        </w:rPr>
      </w:pPr>
    </w:p>
    <w:p w14:paraId="3EF02A89" w14:textId="1E9CAEDA" w:rsidR="0034772B" w:rsidRDefault="0034772B" w:rsidP="0034772B">
      <w:pPr>
        <w:spacing w:after="0" w:line="240" w:lineRule="auto"/>
        <w:rPr>
          <w:sz w:val="24"/>
          <w:szCs w:val="24"/>
        </w:rPr>
      </w:pPr>
    </w:p>
    <w:p w14:paraId="7BEC95F1" w14:textId="77777777" w:rsidR="0034772B" w:rsidRPr="00D8174F" w:rsidRDefault="0034772B" w:rsidP="00D8174F">
      <w:pPr>
        <w:spacing w:after="0" w:line="240" w:lineRule="auto"/>
        <w:ind w:left="360"/>
        <w:rPr>
          <w:sz w:val="24"/>
          <w:szCs w:val="24"/>
        </w:rPr>
      </w:pPr>
    </w:p>
    <w:p w14:paraId="329964B8" w14:textId="3A2520A1" w:rsidR="00D8174F" w:rsidRPr="008F18BC" w:rsidRDefault="00D8174F" w:rsidP="00D8174F">
      <w:pPr>
        <w:numPr>
          <w:ilvl w:val="0"/>
          <w:numId w:val="3"/>
        </w:numPr>
        <w:tabs>
          <w:tab w:val="clear" w:pos="1070"/>
          <w:tab w:val="num" w:pos="360"/>
        </w:tabs>
        <w:spacing w:after="0" w:line="240" w:lineRule="auto"/>
        <w:ind w:left="360"/>
        <w:rPr>
          <w:sz w:val="24"/>
          <w:szCs w:val="24"/>
        </w:rPr>
      </w:pPr>
      <w:r w:rsidRPr="008F18BC">
        <w:rPr>
          <w:sz w:val="24"/>
          <w:szCs w:val="24"/>
        </w:rPr>
        <w:t xml:space="preserve">Analyse and interpret the results of the ratios in part (a) above of </w:t>
      </w:r>
      <w:r>
        <w:rPr>
          <w:sz w:val="24"/>
          <w:szCs w:val="24"/>
        </w:rPr>
        <w:t xml:space="preserve">DGL </w:t>
      </w:r>
      <w:r w:rsidRPr="008F18BC">
        <w:rPr>
          <w:sz w:val="24"/>
          <w:szCs w:val="24"/>
        </w:rPr>
        <w:t xml:space="preserve">for the two years, </w:t>
      </w:r>
      <w:r>
        <w:rPr>
          <w:sz w:val="24"/>
          <w:szCs w:val="24"/>
        </w:rPr>
        <w:t>2020</w:t>
      </w:r>
      <w:r w:rsidRPr="008F18BC">
        <w:rPr>
          <w:sz w:val="24"/>
          <w:szCs w:val="24"/>
        </w:rPr>
        <w:t xml:space="preserve"> and </w:t>
      </w:r>
      <w:r>
        <w:rPr>
          <w:sz w:val="24"/>
          <w:szCs w:val="24"/>
        </w:rPr>
        <w:t>2021</w:t>
      </w:r>
      <w:r w:rsidRPr="008F18BC">
        <w:rPr>
          <w:sz w:val="24"/>
          <w:szCs w:val="24"/>
        </w:rPr>
        <w:t>.</w:t>
      </w:r>
    </w:p>
    <w:p w14:paraId="3C8D17F1" w14:textId="71E1735E" w:rsidR="00D8174F" w:rsidRDefault="00D8174F" w:rsidP="00D8174F">
      <w:pPr>
        <w:pStyle w:val="Default"/>
        <w:rPr>
          <w:rFonts w:asciiTheme="minorHAnsi" w:hAnsiTheme="minorHAnsi"/>
          <w:b/>
          <w:bCs/>
        </w:rPr>
      </w:pPr>
    </w:p>
    <w:sectPr w:rsidR="00D8174F" w:rsidSect="000D672E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3D60B" w14:textId="77777777" w:rsidR="00C06A3D" w:rsidRDefault="00C06A3D" w:rsidP="00D8174F">
      <w:pPr>
        <w:spacing w:after="0" w:line="240" w:lineRule="auto"/>
      </w:pPr>
      <w:r>
        <w:separator/>
      </w:r>
    </w:p>
  </w:endnote>
  <w:endnote w:type="continuationSeparator" w:id="0">
    <w:p w14:paraId="0D63C3D3" w14:textId="77777777" w:rsidR="00C06A3D" w:rsidRDefault="00C06A3D" w:rsidP="00D8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BD58B" w14:textId="77777777" w:rsidR="00C06A3D" w:rsidRDefault="00C06A3D" w:rsidP="00D8174F">
      <w:pPr>
        <w:spacing w:after="0" w:line="240" w:lineRule="auto"/>
      </w:pPr>
      <w:r>
        <w:separator/>
      </w:r>
    </w:p>
  </w:footnote>
  <w:footnote w:type="continuationSeparator" w:id="0">
    <w:p w14:paraId="562EDB50" w14:textId="77777777" w:rsidR="00C06A3D" w:rsidRDefault="00C06A3D" w:rsidP="00D8174F">
      <w:pPr>
        <w:spacing w:after="0" w:line="240" w:lineRule="auto"/>
      </w:pPr>
      <w:r>
        <w:continuationSeparator/>
      </w:r>
    </w:p>
  </w:footnote>
  <w:footnote w:id="1">
    <w:p w14:paraId="06F4635E" w14:textId="49A640EB" w:rsidR="00D8174F" w:rsidRDefault="00D8174F" w:rsidP="00D8174F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50057"/>
    <w:multiLevelType w:val="multilevel"/>
    <w:tmpl w:val="CE926A54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" w15:restartNumberingAfterBreak="0">
    <w:nsid w:val="27A9416A"/>
    <w:multiLevelType w:val="hybridMultilevel"/>
    <w:tmpl w:val="1CC2B490"/>
    <w:lvl w:ilvl="0" w:tplc="682A7C26">
      <w:start w:val="1"/>
      <w:numFmt w:val="lowerLetter"/>
      <w:lvlText w:val="(%1)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1" w:tplc="C0D88E6E">
      <w:start w:val="1"/>
      <w:numFmt w:val="bullet"/>
      <w:lvlText w:val=""/>
      <w:lvlJc w:val="left"/>
      <w:pPr>
        <w:tabs>
          <w:tab w:val="num" w:pos="2414"/>
        </w:tabs>
        <w:ind w:left="2414" w:hanging="624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" w15:restartNumberingAfterBreak="0">
    <w:nsid w:val="2FB9091C"/>
    <w:multiLevelType w:val="multilevel"/>
    <w:tmpl w:val="A56499CA"/>
    <w:lvl w:ilvl="0">
      <w:start w:val="4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" w15:restartNumberingAfterBreak="0">
    <w:nsid w:val="3AF63599"/>
    <w:multiLevelType w:val="hybridMultilevel"/>
    <w:tmpl w:val="E056EA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A2FC0"/>
    <w:multiLevelType w:val="hybridMultilevel"/>
    <w:tmpl w:val="B8AE7FAE"/>
    <w:lvl w:ilvl="0" w:tplc="1DD033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C594E"/>
    <w:multiLevelType w:val="multilevel"/>
    <w:tmpl w:val="8736CA1C"/>
    <w:lvl w:ilvl="0">
      <w:start w:val="1"/>
      <w:numFmt w:val="decimal"/>
      <w:pStyle w:val="Numberedlist"/>
      <w:lvlText w:val="%1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27"/>
        </w:tabs>
        <w:ind w:left="924" w:hanging="35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644"/>
        </w:tabs>
        <w:ind w:left="1418" w:hanging="49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4"/>
        </w:tabs>
        <w:ind w:left="1367" w:hanging="23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27"/>
        </w:tabs>
        <w:ind w:left="17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7"/>
        </w:tabs>
        <w:ind w:left="20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47"/>
        </w:tabs>
        <w:ind w:left="24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07"/>
        </w:tabs>
        <w:ind w:left="28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7"/>
        </w:tabs>
        <w:ind w:left="3167" w:hanging="360"/>
      </w:pPr>
      <w:rPr>
        <w:rFonts w:hint="default"/>
      </w:rPr>
    </w:lvl>
  </w:abstractNum>
  <w:abstractNum w:abstractNumId="6" w15:restartNumberingAfterBreak="0">
    <w:nsid w:val="50BF04CD"/>
    <w:multiLevelType w:val="hybridMultilevel"/>
    <w:tmpl w:val="C8306E0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D7379B"/>
    <w:multiLevelType w:val="multilevel"/>
    <w:tmpl w:val="666E0E5A"/>
    <w:lvl w:ilvl="0">
      <w:start w:val="3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  <w:b w:val="0"/>
        <w:effect w:val="none"/>
      </w:rPr>
    </w:lvl>
    <w:lvl w:ilvl="1">
      <w:start w:val="1"/>
      <w:numFmt w:val="lowerRoman"/>
      <w:lvlText w:val="(%2)"/>
      <w:lvlJc w:val="right"/>
      <w:pPr>
        <w:tabs>
          <w:tab w:val="num" w:pos="1211"/>
        </w:tabs>
        <w:ind w:left="107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637A0628"/>
    <w:multiLevelType w:val="hybridMultilevel"/>
    <w:tmpl w:val="9FB2DA44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5F32FDA"/>
    <w:multiLevelType w:val="hybridMultilevel"/>
    <w:tmpl w:val="E780C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476456">
    <w:abstractNumId w:val="3"/>
  </w:num>
  <w:num w:numId="2" w16cid:durableId="1822236648">
    <w:abstractNumId w:val="6"/>
  </w:num>
  <w:num w:numId="3" w16cid:durableId="1306083221">
    <w:abstractNumId w:val="1"/>
  </w:num>
  <w:num w:numId="4" w16cid:durableId="1883201627">
    <w:abstractNumId w:val="9"/>
  </w:num>
  <w:num w:numId="5" w16cid:durableId="1302075163">
    <w:abstractNumId w:val="4"/>
  </w:num>
  <w:num w:numId="6" w16cid:durableId="650863311">
    <w:abstractNumId w:val="5"/>
  </w:num>
  <w:num w:numId="7" w16cid:durableId="1908223576">
    <w:abstractNumId w:val="0"/>
  </w:num>
  <w:num w:numId="8" w16cid:durableId="677582390">
    <w:abstractNumId w:val="7"/>
  </w:num>
  <w:num w:numId="9" w16cid:durableId="1278872316">
    <w:abstractNumId w:val="8"/>
  </w:num>
  <w:num w:numId="10" w16cid:durableId="587468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4F"/>
    <w:rsid w:val="00054FF2"/>
    <w:rsid w:val="0034772B"/>
    <w:rsid w:val="00C06A3D"/>
    <w:rsid w:val="00D8174F"/>
    <w:rsid w:val="00FA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2A49B4"/>
  <w15:chartTrackingRefBased/>
  <w15:docId w15:val="{342F215A-64DD-E64E-B419-19CD2F90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NZ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74F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174F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  <w:style w:type="character" w:styleId="Hyperlink">
    <w:name w:val="Hyperlink"/>
    <w:basedOn w:val="DefaultParagraphFont"/>
    <w:uiPriority w:val="99"/>
    <w:unhideWhenUsed/>
    <w:rsid w:val="00D8174F"/>
    <w:rPr>
      <w:color w:val="0563C1" w:themeColor="hyperlink"/>
      <w:u w:val="single"/>
    </w:rPr>
  </w:style>
  <w:style w:type="table" w:styleId="TableGrid">
    <w:name w:val="Table Grid"/>
    <w:basedOn w:val="TableNormal"/>
    <w:rsid w:val="00D8174F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817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74F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8174F"/>
    <w:rPr>
      <w:vertAlign w:val="superscript"/>
    </w:rPr>
  </w:style>
  <w:style w:type="paragraph" w:styleId="ListParagraph">
    <w:name w:val="List Paragraph"/>
    <w:basedOn w:val="Normal"/>
    <w:uiPriority w:val="34"/>
    <w:qFormat/>
    <w:rsid w:val="00D8174F"/>
    <w:pPr>
      <w:ind w:left="720"/>
      <w:contextualSpacing/>
    </w:pPr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rsid w:val="00D8174F"/>
    <w:pPr>
      <w:spacing w:after="120" w:line="480" w:lineRule="auto"/>
      <w:ind w:left="283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D8174F"/>
    <w:rPr>
      <w:rFonts w:ascii="Times New Roman" w:eastAsia="Times New Roman" w:hAnsi="Times New Roman" w:cs="Times New Roman"/>
      <w:sz w:val="22"/>
      <w:szCs w:val="20"/>
      <w:lang w:val="en-GB" w:eastAsia="en-US"/>
    </w:rPr>
  </w:style>
  <w:style w:type="paragraph" w:customStyle="1" w:styleId="Numberedlist">
    <w:name w:val="Numbered list"/>
    <w:basedOn w:val="Normal"/>
    <w:rsid w:val="00D8174F"/>
    <w:pPr>
      <w:numPr>
        <w:numId w:val="6"/>
      </w:numPr>
      <w:tabs>
        <w:tab w:val="left" w:pos="567"/>
        <w:tab w:val="left" w:pos="1418"/>
        <w:tab w:val="left" w:pos="1729"/>
        <w:tab w:val="left" w:pos="2087"/>
        <w:tab w:val="left" w:pos="2449"/>
        <w:tab w:val="left" w:pos="2807"/>
        <w:tab w:val="left" w:pos="3170"/>
        <w:tab w:val="left" w:pos="3686"/>
      </w:tabs>
      <w:spacing w:before="60" w:after="0" w:line="288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Yeon Kang</dc:creator>
  <cp:keywords/>
  <dc:description/>
  <cp:lastModifiedBy>Su Yeon Kang</cp:lastModifiedBy>
  <cp:revision>2</cp:revision>
  <dcterms:created xsi:type="dcterms:W3CDTF">2022-08-11T10:59:00Z</dcterms:created>
  <dcterms:modified xsi:type="dcterms:W3CDTF">2022-08-13T07:46:00Z</dcterms:modified>
</cp:coreProperties>
</file>